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EE" w:rsidRDefault="008A6E3F" w:rsidP="0044715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A6E3F">
        <w:rPr>
          <w:rFonts w:ascii="Times New Roman" w:hAnsi="Times New Roman" w:cs="Times New Roman"/>
        </w:rPr>
        <w:t>Mi</w:t>
      </w:r>
      <w:r>
        <w:rPr>
          <w:rFonts w:ascii="Times New Roman" w:hAnsi="Times New Roman" w:cs="Times New Roman"/>
        </w:rPr>
        <w:t xml:space="preserve">nistarstvo znanosti i obrazovanja </w:t>
      </w:r>
      <w:r w:rsidR="00832F3A">
        <w:rPr>
          <w:rFonts w:ascii="Times New Roman" w:hAnsi="Times New Roman" w:cs="Times New Roman"/>
        </w:rPr>
        <w:t>kao nacionalno koordinacijsko tijelo za implementaciju Okvirnog programa za istraživanje i inovacije za razdoblje za 2014</w:t>
      </w:r>
      <w:r w:rsidR="004B6B2C">
        <w:rPr>
          <w:rFonts w:ascii="Times New Roman" w:hAnsi="Times New Roman" w:cs="Times New Roman"/>
        </w:rPr>
        <w:t>.</w:t>
      </w:r>
      <w:r w:rsidR="00832F3A">
        <w:rPr>
          <w:rFonts w:ascii="Times New Roman" w:hAnsi="Times New Roman" w:cs="Times New Roman"/>
        </w:rPr>
        <w:t>-2020</w:t>
      </w:r>
      <w:r w:rsidR="004B6B2C">
        <w:rPr>
          <w:rFonts w:ascii="Times New Roman" w:hAnsi="Times New Roman" w:cs="Times New Roman"/>
        </w:rPr>
        <w:t>.</w:t>
      </w:r>
      <w:r w:rsidR="00832F3A">
        <w:rPr>
          <w:rFonts w:ascii="Times New Roman" w:hAnsi="Times New Roman" w:cs="Times New Roman"/>
        </w:rPr>
        <w:t xml:space="preserve"> usvojilo je</w:t>
      </w:r>
      <w:r>
        <w:rPr>
          <w:rFonts w:ascii="Times New Roman" w:hAnsi="Times New Roman" w:cs="Times New Roman"/>
        </w:rPr>
        <w:t xml:space="preserve"> </w:t>
      </w:r>
      <w:r w:rsidR="00832F3A" w:rsidRPr="004B6B2C">
        <w:rPr>
          <w:rFonts w:ascii="Times New Roman" w:hAnsi="Times New Roman" w:cs="Times New Roman"/>
          <w:b/>
        </w:rPr>
        <w:t xml:space="preserve">Odluku o poticanju prijave na međunarodne kompetitivne projekte u okviru Okvirnog programa za istraživanja i inovacije Obzor 2020. </w:t>
      </w:r>
    </w:p>
    <w:p w:rsidR="00832F3A" w:rsidRDefault="00832F3A" w:rsidP="004471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Cilj navedene Odluke je pružiti dodatnu podršku hrvatskim prijaviteljima na pozive u okviru Programa Obzor 2020. Jedan od st</w:t>
      </w:r>
      <w:r w:rsidR="001D42B1">
        <w:rPr>
          <w:rFonts w:ascii="Times New Roman" w:hAnsi="Times New Roman" w:cs="Times New Roman"/>
        </w:rPr>
        <w:t xml:space="preserve">rateških ciljeva </w:t>
      </w:r>
      <w:r>
        <w:rPr>
          <w:rFonts w:ascii="Times New Roman" w:hAnsi="Times New Roman" w:cs="Times New Roman"/>
        </w:rPr>
        <w:t xml:space="preserve">Vlade </w:t>
      </w:r>
      <w:r w:rsidR="004B6B2C">
        <w:rPr>
          <w:rFonts w:ascii="Times New Roman" w:hAnsi="Times New Roman" w:cs="Times New Roman"/>
        </w:rPr>
        <w:t>RH</w:t>
      </w:r>
      <w:r>
        <w:rPr>
          <w:rFonts w:ascii="Times New Roman" w:hAnsi="Times New Roman" w:cs="Times New Roman"/>
        </w:rPr>
        <w:t xml:space="preserve"> je povećati apsorpciju sredstava dostupnih za istraživanje i razvoj putem programa koje izravno financira Europska unija. Iz rezultata srednjoročne evaluacije sudjelovanja hrvatskih prijavitelja u programu Obzor 2020. vidljivo je da je participacija hrvatskih prijavitelja relativno niska. </w:t>
      </w:r>
      <w:r w:rsidR="004B6B2C">
        <w:rPr>
          <w:rFonts w:ascii="Times New Roman" w:hAnsi="Times New Roman" w:cs="Times New Roman"/>
        </w:rPr>
        <w:t>Analiza</w:t>
      </w:r>
      <w:r>
        <w:rPr>
          <w:rFonts w:ascii="Times New Roman" w:hAnsi="Times New Roman" w:cs="Times New Roman"/>
        </w:rPr>
        <w:t xml:space="preserve"> upitnika koj</w:t>
      </w:r>
      <w:r w:rsidR="004B6B2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je provelo Ministarstvo znanosti i obrazovanj</w:t>
      </w:r>
      <w:r w:rsidR="004B6B2C">
        <w:rPr>
          <w:rFonts w:ascii="Times New Roman" w:hAnsi="Times New Roman" w:cs="Times New Roman"/>
        </w:rPr>
        <w:t xml:space="preserve">a u prvoj polovici 2017. godine pokazala je da korisnici kao jedan od </w:t>
      </w:r>
      <w:r>
        <w:rPr>
          <w:rFonts w:ascii="Times New Roman" w:hAnsi="Times New Roman" w:cs="Times New Roman"/>
        </w:rPr>
        <w:t>razlog</w:t>
      </w:r>
      <w:r w:rsidR="004B6B2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nesudjelovanja </w:t>
      </w:r>
      <w:r w:rsidR="004B6B2C">
        <w:rPr>
          <w:rFonts w:ascii="Times New Roman" w:hAnsi="Times New Roman" w:cs="Times New Roman"/>
        </w:rPr>
        <w:t>navode</w:t>
      </w:r>
      <w:r>
        <w:rPr>
          <w:rFonts w:ascii="Times New Roman" w:hAnsi="Times New Roman" w:cs="Times New Roman"/>
        </w:rPr>
        <w:t xml:space="preserve"> nepoznavanje </w:t>
      </w:r>
      <w:r w:rsidR="004B6B2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rograma</w:t>
      </w:r>
      <w:r w:rsidR="004B6B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odnosno </w:t>
      </w:r>
      <w:r w:rsidR="004B6B2C">
        <w:rPr>
          <w:rFonts w:ascii="Times New Roman" w:hAnsi="Times New Roman" w:cs="Times New Roman"/>
        </w:rPr>
        <w:t>nedostatnu</w:t>
      </w:r>
      <w:r>
        <w:rPr>
          <w:rFonts w:ascii="Times New Roman" w:hAnsi="Times New Roman" w:cs="Times New Roman"/>
        </w:rPr>
        <w:t xml:space="preserve"> podršk</w:t>
      </w:r>
      <w:r w:rsidR="004B6B2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svoje u</w:t>
      </w:r>
      <w:r w:rsidR="00C26BE5">
        <w:rPr>
          <w:rFonts w:ascii="Times New Roman" w:hAnsi="Times New Roman" w:cs="Times New Roman"/>
        </w:rPr>
        <w:t>stanove za prijavu na Program te nedovoljno razvijen</w:t>
      </w:r>
      <w:r w:rsidR="004B6B2C">
        <w:rPr>
          <w:rFonts w:ascii="Times New Roman" w:hAnsi="Times New Roman" w:cs="Times New Roman"/>
        </w:rPr>
        <w:t>e</w:t>
      </w:r>
      <w:r w:rsidR="00C26BE5">
        <w:rPr>
          <w:rFonts w:ascii="Times New Roman" w:hAnsi="Times New Roman" w:cs="Times New Roman"/>
        </w:rPr>
        <w:t xml:space="preserve"> administrativn</w:t>
      </w:r>
      <w:r w:rsidR="004B6B2C">
        <w:rPr>
          <w:rFonts w:ascii="Times New Roman" w:hAnsi="Times New Roman" w:cs="Times New Roman"/>
        </w:rPr>
        <w:t>e</w:t>
      </w:r>
      <w:r w:rsidR="00C26BE5">
        <w:rPr>
          <w:rFonts w:ascii="Times New Roman" w:hAnsi="Times New Roman" w:cs="Times New Roman"/>
        </w:rPr>
        <w:t xml:space="preserve"> kapacitet</w:t>
      </w:r>
      <w:r w:rsidR="004B6B2C">
        <w:rPr>
          <w:rFonts w:ascii="Times New Roman" w:hAnsi="Times New Roman" w:cs="Times New Roman"/>
        </w:rPr>
        <w:t>e. D</w:t>
      </w:r>
      <w:r>
        <w:rPr>
          <w:rFonts w:ascii="Times New Roman" w:hAnsi="Times New Roman" w:cs="Times New Roman"/>
        </w:rPr>
        <w:t xml:space="preserve">odatni razlozi </w:t>
      </w:r>
      <w:r w:rsidR="004B6B2C">
        <w:rPr>
          <w:rFonts w:ascii="Times New Roman" w:hAnsi="Times New Roman" w:cs="Times New Roman"/>
        </w:rPr>
        <w:t xml:space="preserve">prepoznati u navedenoj analizi </w:t>
      </w:r>
      <w:r>
        <w:rPr>
          <w:rFonts w:ascii="Times New Roman" w:hAnsi="Times New Roman" w:cs="Times New Roman"/>
        </w:rPr>
        <w:t>uključuju teško</w:t>
      </w:r>
      <w:r w:rsidR="004B6B2C">
        <w:rPr>
          <w:rFonts w:ascii="Times New Roman" w:hAnsi="Times New Roman" w:cs="Times New Roman"/>
        </w:rPr>
        <w:t>će u</w:t>
      </w:r>
      <w:r>
        <w:rPr>
          <w:rFonts w:ascii="Times New Roman" w:hAnsi="Times New Roman" w:cs="Times New Roman"/>
        </w:rPr>
        <w:t xml:space="preserve"> pronalaženj</w:t>
      </w:r>
      <w:r w:rsidR="004B6B2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međunarodnih partnera, </w:t>
      </w:r>
      <w:r w:rsidR="00C26BE5">
        <w:rPr>
          <w:rFonts w:ascii="Times New Roman" w:hAnsi="Times New Roman" w:cs="Times New Roman"/>
        </w:rPr>
        <w:t>ali i nisku osobnu motivaciju za prijavu na natječaje u okviru Obzor</w:t>
      </w:r>
      <w:r w:rsidR="004B6B2C">
        <w:rPr>
          <w:rFonts w:ascii="Times New Roman" w:hAnsi="Times New Roman" w:cs="Times New Roman"/>
        </w:rPr>
        <w:t>a</w:t>
      </w:r>
      <w:r w:rsidR="00C26BE5">
        <w:rPr>
          <w:rFonts w:ascii="Times New Roman" w:hAnsi="Times New Roman" w:cs="Times New Roman"/>
        </w:rPr>
        <w:t xml:space="preserve"> 2020. </w:t>
      </w:r>
    </w:p>
    <w:p w:rsidR="00832F3A" w:rsidRDefault="004B6B2C" w:rsidP="00447156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bi pokušali</w:t>
      </w:r>
      <w:r w:rsidR="00C26B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doprinijeti </w:t>
      </w:r>
      <w:r w:rsidR="00C26BE5">
        <w:rPr>
          <w:rFonts w:ascii="Times New Roman" w:hAnsi="Times New Roman" w:cs="Times New Roman"/>
        </w:rPr>
        <w:t>rješavanj</w:t>
      </w:r>
      <w:r>
        <w:rPr>
          <w:rFonts w:ascii="Times New Roman" w:hAnsi="Times New Roman" w:cs="Times New Roman"/>
        </w:rPr>
        <w:t>u</w:t>
      </w:r>
      <w:r w:rsidR="008F590A">
        <w:rPr>
          <w:rFonts w:ascii="Times New Roman" w:hAnsi="Times New Roman" w:cs="Times New Roman"/>
        </w:rPr>
        <w:t xml:space="preserve"> izazova s kojima se suočavaju potencijalni korisnici</w:t>
      </w:r>
      <w:r>
        <w:rPr>
          <w:rFonts w:ascii="Times New Roman" w:hAnsi="Times New Roman" w:cs="Times New Roman"/>
        </w:rPr>
        <w:t>,</w:t>
      </w:r>
      <w:r w:rsidR="004471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Ministarstvo znanosti i obrazovanja </w:t>
      </w:r>
      <w:r w:rsidR="00832F3A">
        <w:rPr>
          <w:rFonts w:ascii="Times New Roman" w:hAnsi="Times New Roman" w:cs="Times New Roman"/>
        </w:rPr>
        <w:t>ovom Odlukom primarno žel</w:t>
      </w:r>
      <w:r>
        <w:rPr>
          <w:rFonts w:ascii="Times New Roman" w:hAnsi="Times New Roman" w:cs="Times New Roman"/>
        </w:rPr>
        <w:t>i</w:t>
      </w:r>
      <w:r w:rsidR="00832F3A">
        <w:rPr>
          <w:rFonts w:ascii="Times New Roman" w:hAnsi="Times New Roman" w:cs="Times New Roman"/>
        </w:rPr>
        <w:t xml:space="preserve"> </w:t>
      </w:r>
      <w:r w:rsidR="008F590A">
        <w:rPr>
          <w:rFonts w:ascii="Times New Roman" w:hAnsi="Times New Roman" w:cs="Times New Roman"/>
        </w:rPr>
        <w:t xml:space="preserve">potaknuti </w:t>
      </w:r>
      <w:r>
        <w:rPr>
          <w:rFonts w:ascii="Times New Roman" w:hAnsi="Times New Roman" w:cs="Times New Roman"/>
        </w:rPr>
        <w:t xml:space="preserve">veću </w:t>
      </w:r>
      <w:r w:rsidR="008F590A">
        <w:rPr>
          <w:rFonts w:ascii="Times New Roman" w:hAnsi="Times New Roman" w:cs="Times New Roman"/>
        </w:rPr>
        <w:t>učestalost prijav</w:t>
      </w:r>
      <w:r>
        <w:rPr>
          <w:rFonts w:ascii="Times New Roman" w:hAnsi="Times New Roman" w:cs="Times New Roman"/>
        </w:rPr>
        <w:t>a</w:t>
      </w:r>
      <w:r w:rsidR="008F590A">
        <w:rPr>
          <w:rFonts w:ascii="Times New Roman" w:hAnsi="Times New Roman" w:cs="Times New Roman"/>
        </w:rPr>
        <w:t xml:space="preserve"> na pozive u okviru Obzor 2020. programa. </w:t>
      </w:r>
    </w:p>
    <w:p w:rsidR="004B6B2C" w:rsidRDefault="008F590A" w:rsidP="004B6B2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ove Odluke financira</w:t>
      </w:r>
      <w:r w:rsidR="001D42B1">
        <w:rPr>
          <w:rFonts w:ascii="Times New Roman" w:hAnsi="Times New Roman" w:cs="Times New Roman"/>
        </w:rPr>
        <w:t>ju se različite aktivnosti koje se mogu podijeliti u dvije mjere.</w:t>
      </w:r>
    </w:p>
    <w:p w:rsidR="008F590A" w:rsidRPr="004B6B2C" w:rsidRDefault="004B6B2C" w:rsidP="00544C9E">
      <w:pPr>
        <w:pStyle w:val="ListParagraph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4B6B2C">
        <w:rPr>
          <w:rFonts w:ascii="Times New Roman" w:hAnsi="Times New Roman" w:cs="Times New Roman"/>
          <w:b/>
        </w:rPr>
        <w:t>Mjera za</w:t>
      </w:r>
      <w:r w:rsidR="008F590A" w:rsidRPr="004B6B2C">
        <w:rPr>
          <w:rFonts w:ascii="Times New Roman" w:hAnsi="Times New Roman" w:cs="Times New Roman"/>
          <w:b/>
        </w:rPr>
        <w:t xml:space="preserve"> prijavitelje koji</w:t>
      </w:r>
      <w:r w:rsidR="008F590A" w:rsidRPr="004B6B2C">
        <w:rPr>
          <w:rFonts w:ascii="Times New Roman" w:hAnsi="Times New Roman" w:cs="Times New Roman"/>
        </w:rPr>
        <w:t xml:space="preserve"> </w:t>
      </w:r>
      <w:r w:rsidR="008F590A" w:rsidRPr="004B6B2C">
        <w:rPr>
          <w:rFonts w:ascii="Times New Roman" w:hAnsi="Times New Roman" w:cs="Times New Roman"/>
          <w:b/>
        </w:rPr>
        <w:t>tek planiraju prijavu</w:t>
      </w:r>
      <w:r w:rsidR="008F590A" w:rsidRPr="004B6B2C">
        <w:rPr>
          <w:rFonts w:ascii="Times New Roman" w:hAnsi="Times New Roman" w:cs="Times New Roman"/>
        </w:rPr>
        <w:t xml:space="preserve"> </w:t>
      </w:r>
      <w:r w:rsidR="008F590A" w:rsidRPr="004B6B2C">
        <w:rPr>
          <w:rFonts w:ascii="Times New Roman" w:hAnsi="Times New Roman" w:cs="Times New Roman"/>
          <w:b/>
        </w:rPr>
        <w:t>na neki od poziva</w:t>
      </w:r>
      <w:r w:rsidR="008F590A" w:rsidRPr="004B6B2C">
        <w:rPr>
          <w:rFonts w:ascii="Times New Roman" w:hAnsi="Times New Roman" w:cs="Times New Roman"/>
        </w:rPr>
        <w:t xml:space="preserve"> temeljem </w:t>
      </w:r>
      <w:r w:rsidR="001D42B1">
        <w:rPr>
          <w:rFonts w:ascii="Times New Roman" w:hAnsi="Times New Roman" w:cs="Times New Roman"/>
        </w:rPr>
        <w:t>R</w:t>
      </w:r>
      <w:r w:rsidR="008F590A" w:rsidRPr="004B6B2C">
        <w:rPr>
          <w:rFonts w:ascii="Times New Roman" w:hAnsi="Times New Roman" w:cs="Times New Roman"/>
        </w:rPr>
        <w:t xml:space="preserve">adnih programa za </w:t>
      </w:r>
      <w:r w:rsidR="001D42B1">
        <w:rPr>
          <w:rFonts w:ascii="Times New Roman" w:hAnsi="Times New Roman" w:cs="Times New Roman"/>
        </w:rPr>
        <w:t xml:space="preserve">razdoblje 2018.- </w:t>
      </w:r>
      <w:r w:rsidR="008F590A" w:rsidRPr="004B6B2C">
        <w:rPr>
          <w:rFonts w:ascii="Times New Roman" w:hAnsi="Times New Roman" w:cs="Times New Roman"/>
        </w:rPr>
        <w:t>2020. godin</w:t>
      </w:r>
      <w:r w:rsidR="001D42B1">
        <w:rPr>
          <w:rFonts w:ascii="Times New Roman" w:hAnsi="Times New Roman" w:cs="Times New Roman"/>
        </w:rPr>
        <w:t>e</w:t>
      </w:r>
      <w:r w:rsidR="008F590A" w:rsidRPr="004B6B2C">
        <w:rPr>
          <w:rFonts w:ascii="Times New Roman" w:hAnsi="Times New Roman" w:cs="Times New Roman"/>
        </w:rPr>
        <w:t xml:space="preserve">, a </w:t>
      </w:r>
      <w:r w:rsidR="001D42B1">
        <w:rPr>
          <w:rFonts w:ascii="Times New Roman" w:hAnsi="Times New Roman" w:cs="Times New Roman"/>
        </w:rPr>
        <w:t xml:space="preserve">u okviru koje je </w:t>
      </w:r>
      <w:r w:rsidR="008F590A" w:rsidRPr="004B6B2C">
        <w:rPr>
          <w:rFonts w:ascii="Times New Roman" w:hAnsi="Times New Roman" w:cs="Times New Roman"/>
        </w:rPr>
        <w:t>mogu</w:t>
      </w:r>
      <w:r w:rsidR="001D42B1">
        <w:rPr>
          <w:rFonts w:ascii="Times New Roman" w:hAnsi="Times New Roman" w:cs="Times New Roman"/>
        </w:rPr>
        <w:t>će</w:t>
      </w:r>
      <w:r w:rsidR="008F590A" w:rsidRPr="004B6B2C">
        <w:rPr>
          <w:rFonts w:ascii="Times New Roman" w:hAnsi="Times New Roman" w:cs="Times New Roman"/>
        </w:rPr>
        <w:t xml:space="preserve"> ostvariti podršku za</w:t>
      </w:r>
      <w:r w:rsidR="001D42B1">
        <w:rPr>
          <w:rFonts w:ascii="Times New Roman" w:hAnsi="Times New Roman" w:cs="Times New Roman"/>
        </w:rPr>
        <w:t xml:space="preserve"> sljedeće aktivnosti</w:t>
      </w:r>
      <w:r w:rsidR="008F590A" w:rsidRPr="004B6B2C">
        <w:rPr>
          <w:rFonts w:ascii="Times New Roman" w:hAnsi="Times New Roman" w:cs="Times New Roman"/>
        </w:rPr>
        <w:t xml:space="preserve">: </w:t>
      </w:r>
    </w:p>
    <w:p w:rsidR="008F590A" w:rsidRPr="008F590A" w:rsidRDefault="008F590A" w:rsidP="004B6B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90A">
        <w:rPr>
          <w:rFonts w:ascii="Times New Roman" w:hAnsi="Times New Roman" w:cs="Times New Roman"/>
        </w:rPr>
        <w:t>odlazak na međunarodne konferencije s ciljem umrežavanja u svrhu prijave projektnog prijedloga</w:t>
      </w:r>
    </w:p>
    <w:p w:rsidR="008F590A" w:rsidRPr="008F590A" w:rsidRDefault="008F590A" w:rsidP="004B6B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90A">
        <w:rPr>
          <w:rFonts w:ascii="Times New Roman" w:hAnsi="Times New Roman" w:cs="Times New Roman"/>
        </w:rPr>
        <w:t xml:space="preserve">odlazak na sastanke projektnih partnera prilikom planiranja projektne prijave </w:t>
      </w:r>
    </w:p>
    <w:p w:rsidR="008F590A" w:rsidRPr="008F590A" w:rsidRDefault="008F590A" w:rsidP="004B6B2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8F590A">
        <w:rPr>
          <w:rFonts w:ascii="Times New Roman" w:hAnsi="Times New Roman" w:cs="Times New Roman"/>
        </w:rPr>
        <w:t xml:space="preserve">odlazak na radionice za pripremu projektne prijave u drugoj fazi (u projektima s dvije faze prijave) </w:t>
      </w:r>
    </w:p>
    <w:p w:rsidR="008F590A" w:rsidRPr="008F590A" w:rsidRDefault="008F590A" w:rsidP="004B6B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90A">
        <w:rPr>
          <w:rFonts w:ascii="Times New Roman" w:hAnsi="Times New Roman" w:cs="Times New Roman"/>
        </w:rPr>
        <w:t>trošak savjetodavnih usluga za pripremu i pisanje projektne prijave</w:t>
      </w:r>
      <w:r w:rsidR="00202018">
        <w:rPr>
          <w:rFonts w:ascii="Times New Roman" w:hAnsi="Times New Roman" w:cs="Times New Roman"/>
        </w:rPr>
        <w:t>*</w:t>
      </w:r>
    </w:p>
    <w:p w:rsidR="008F590A" w:rsidRPr="008F590A" w:rsidRDefault="008F590A" w:rsidP="004B6B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90A">
        <w:rPr>
          <w:rFonts w:ascii="Times New Roman" w:hAnsi="Times New Roman" w:cs="Times New Roman"/>
        </w:rPr>
        <w:t>odlazak na sastanke vezane uz ugovaranje projektnog prijedloga, u slučaju da je projektu odobreno financiranje od strane Europske komisije, te ako je hrvatska ustanova partner, koordinator ili glavni korisnik odobrenih sredstava</w:t>
      </w:r>
    </w:p>
    <w:p w:rsidR="008F590A" w:rsidRPr="008F590A" w:rsidRDefault="008F590A" w:rsidP="004B6B2C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F590A">
        <w:rPr>
          <w:rFonts w:ascii="Times New Roman" w:hAnsi="Times New Roman" w:cs="Times New Roman"/>
        </w:rPr>
        <w:t>trošak edukacijskih i savjetodavnih usluga za upravljanje i praćenje provedbe projekta za znanstveno i/ili administrativno osoblje, ako nije financirano projektom.</w:t>
      </w:r>
    </w:p>
    <w:p w:rsidR="004B6B2C" w:rsidRDefault="004B6B2C" w:rsidP="004B6B2C">
      <w:pPr>
        <w:spacing w:after="60"/>
        <w:ind w:left="3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Način prijave:</w:t>
      </w:r>
    </w:p>
    <w:p w:rsidR="004B6B2C" w:rsidRDefault="004B6B2C" w:rsidP="00544C9E">
      <w:pPr>
        <w:spacing w:after="0" w:line="240" w:lineRule="auto"/>
        <w:ind w:lef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</w:t>
      </w:r>
      <w:r w:rsidRPr="004B6B2C">
        <w:rPr>
          <w:rFonts w:ascii="Times New Roman" w:hAnsi="Times New Roman" w:cs="Times New Roman"/>
        </w:rPr>
        <w:t>a svaku od aktivnosti za koju prijavitelj traži podršku, potrebno je</w:t>
      </w:r>
      <w:r>
        <w:rPr>
          <w:rFonts w:ascii="Times New Roman" w:hAnsi="Times New Roman" w:cs="Times New Roman"/>
          <w:b/>
        </w:rPr>
        <w:t xml:space="preserve"> </w:t>
      </w:r>
      <w:r w:rsidR="0035385D" w:rsidRPr="004B6B2C">
        <w:rPr>
          <w:rFonts w:ascii="Times New Roman" w:hAnsi="Times New Roman" w:cs="Times New Roman"/>
          <w:b/>
        </w:rPr>
        <w:t xml:space="preserve">60 dana prije planirane aktivnosti </w:t>
      </w:r>
      <w:r w:rsidRPr="004B6B2C">
        <w:rPr>
          <w:rFonts w:ascii="Times New Roman" w:hAnsi="Times New Roman" w:cs="Times New Roman"/>
        </w:rPr>
        <w:t>Ministarstvu dostaviti</w:t>
      </w:r>
      <w:r>
        <w:rPr>
          <w:rFonts w:ascii="Times New Roman" w:hAnsi="Times New Roman" w:cs="Times New Roman"/>
          <w:b/>
        </w:rPr>
        <w:t>:</w:t>
      </w:r>
    </w:p>
    <w:p w:rsidR="001D42B1" w:rsidRPr="001D42B1" w:rsidRDefault="0035385D" w:rsidP="00544C9E">
      <w:pPr>
        <w:pStyle w:val="ListParagraph"/>
        <w:numPr>
          <w:ilvl w:val="0"/>
          <w:numId w:val="7"/>
        </w:numPr>
        <w:spacing w:after="0" w:line="240" w:lineRule="auto"/>
        <w:ind w:left="1054" w:hanging="357"/>
        <w:jc w:val="both"/>
        <w:rPr>
          <w:rFonts w:ascii="Times New Roman" w:hAnsi="Times New Roman" w:cs="Times New Roman"/>
          <w:u w:val="single"/>
        </w:rPr>
      </w:pPr>
      <w:r w:rsidRPr="004B6B2C">
        <w:rPr>
          <w:rFonts w:ascii="Times New Roman" w:hAnsi="Times New Roman" w:cs="Times New Roman"/>
        </w:rPr>
        <w:t>obrazac s podacima o pozivu i aktivnosti na koju se prijavljuju (</w:t>
      </w:r>
      <w:r w:rsidR="00F52B6A" w:rsidRPr="00F52B6A">
        <w:rPr>
          <w:rFonts w:ascii="Times New Roman" w:hAnsi="Times New Roman" w:cs="Times New Roman"/>
          <w:b/>
        </w:rPr>
        <w:t xml:space="preserve">jedinstveni </w:t>
      </w:r>
      <w:r w:rsidR="00F52B6A">
        <w:rPr>
          <w:rFonts w:ascii="Times New Roman" w:hAnsi="Times New Roman" w:cs="Times New Roman"/>
        </w:rPr>
        <w:t>prijavni O</w:t>
      </w:r>
      <w:r w:rsidR="00F52B6A" w:rsidRPr="004B6B2C">
        <w:rPr>
          <w:rFonts w:ascii="Times New Roman" w:hAnsi="Times New Roman" w:cs="Times New Roman"/>
        </w:rPr>
        <w:t>brazac</w:t>
      </w:r>
      <w:r w:rsidR="00F52B6A">
        <w:rPr>
          <w:rFonts w:ascii="Times New Roman" w:hAnsi="Times New Roman" w:cs="Times New Roman"/>
        </w:rPr>
        <w:t xml:space="preserve"> </w:t>
      </w:r>
      <w:r w:rsidR="004B6B2C">
        <w:rPr>
          <w:rFonts w:ascii="Times New Roman" w:hAnsi="Times New Roman" w:cs="Times New Roman"/>
        </w:rPr>
        <w:t xml:space="preserve">se nalazi </w:t>
      </w:r>
      <w:r w:rsidR="001D42B1">
        <w:rPr>
          <w:rFonts w:ascii="Times New Roman" w:hAnsi="Times New Roman" w:cs="Times New Roman"/>
        </w:rPr>
        <w:t>u prilogu</w:t>
      </w:r>
      <w:r w:rsidR="004B6B2C">
        <w:rPr>
          <w:rFonts w:ascii="Times New Roman" w:hAnsi="Times New Roman" w:cs="Times New Roman"/>
        </w:rPr>
        <w:t>)</w:t>
      </w:r>
      <w:r w:rsidR="00F52B6A">
        <w:rPr>
          <w:rFonts w:ascii="Times New Roman" w:hAnsi="Times New Roman" w:cs="Times New Roman"/>
        </w:rPr>
        <w:t xml:space="preserve"> </w:t>
      </w:r>
    </w:p>
    <w:p w:rsidR="001D42B1" w:rsidRPr="001D42B1" w:rsidRDefault="001D42B1" w:rsidP="00544C9E">
      <w:pPr>
        <w:spacing w:after="60" w:line="240" w:lineRule="auto"/>
        <w:ind w:left="340"/>
        <w:jc w:val="both"/>
        <w:rPr>
          <w:rFonts w:ascii="Times New Roman" w:hAnsi="Times New Roman" w:cs="Times New Roman"/>
        </w:rPr>
      </w:pPr>
      <w:r w:rsidRPr="001D42B1">
        <w:rPr>
          <w:rFonts w:ascii="Times New Roman" w:hAnsi="Times New Roman" w:cs="Times New Roman"/>
          <w:b/>
        </w:rPr>
        <w:t xml:space="preserve">Popunjeni i </w:t>
      </w:r>
      <w:proofErr w:type="spellStart"/>
      <w:r w:rsidRPr="001D42B1">
        <w:rPr>
          <w:rFonts w:ascii="Times New Roman" w:hAnsi="Times New Roman" w:cs="Times New Roman"/>
          <w:b/>
        </w:rPr>
        <w:t>pečatirani</w:t>
      </w:r>
      <w:proofErr w:type="spellEnd"/>
      <w:r w:rsidRPr="001D42B1">
        <w:rPr>
          <w:rFonts w:ascii="Times New Roman" w:hAnsi="Times New Roman" w:cs="Times New Roman"/>
          <w:b/>
        </w:rPr>
        <w:t xml:space="preserve"> prijavni </w:t>
      </w:r>
      <w:r>
        <w:rPr>
          <w:rFonts w:ascii="Times New Roman" w:hAnsi="Times New Roman" w:cs="Times New Roman"/>
          <w:b/>
        </w:rPr>
        <w:t>O</w:t>
      </w:r>
      <w:r w:rsidRPr="001D42B1">
        <w:rPr>
          <w:rFonts w:ascii="Times New Roman" w:hAnsi="Times New Roman" w:cs="Times New Roman"/>
          <w:b/>
        </w:rPr>
        <w:t>brazac</w:t>
      </w:r>
      <w:r w:rsidRPr="001D42B1">
        <w:rPr>
          <w:rFonts w:ascii="Times New Roman" w:hAnsi="Times New Roman" w:cs="Times New Roman"/>
        </w:rPr>
        <w:t xml:space="preserve"> dostavlja se Ministarstvu znanosti i obrazovanja u digitalnom obliku, na e-mail adresu: </w:t>
      </w:r>
      <w:hyperlink r:id="rId6" w:history="1">
        <w:r w:rsidR="0042505C" w:rsidRPr="00171A57">
          <w:rPr>
            <w:rStyle w:val="Hyperlink"/>
            <w:rFonts w:ascii="Times New Roman" w:hAnsi="Times New Roman" w:cs="Times New Roman"/>
          </w:rPr>
          <w:t>O2020_mjere_2018@mzo.hr</w:t>
        </w:r>
      </w:hyperlink>
      <w:r w:rsidRPr="001D42B1">
        <w:rPr>
          <w:rFonts w:ascii="Times New Roman" w:hAnsi="Times New Roman" w:cs="Times New Roman"/>
        </w:rPr>
        <w:t>.</w:t>
      </w:r>
    </w:p>
    <w:p w:rsidR="004B6B2C" w:rsidRDefault="004B6B2C" w:rsidP="00544C9E">
      <w:pPr>
        <w:spacing w:after="60" w:line="240" w:lineRule="auto"/>
        <w:ind w:left="340"/>
        <w:jc w:val="both"/>
        <w:rPr>
          <w:rFonts w:ascii="Times New Roman" w:hAnsi="Times New Roman" w:cs="Times New Roman"/>
        </w:rPr>
      </w:pPr>
      <w:r w:rsidRPr="004B6B2C">
        <w:rPr>
          <w:rFonts w:ascii="Times New Roman" w:hAnsi="Times New Roman" w:cs="Times New Roman"/>
        </w:rPr>
        <w:t xml:space="preserve">Moguće je ostvariti pravo na cjelokupnu ili djelomičnu jednokratnu financijsku podršku </w:t>
      </w:r>
      <w:r w:rsidRPr="004B6B2C">
        <w:rPr>
          <w:rFonts w:ascii="Times New Roman" w:hAnsi="Times New Roman" w:cs="Times New Roman"/>
          <w:b/>
        </w:rPr>
        <w:t>za sve ili samo neke od navedenih aktivnosti</w:t>
      </w:r>
      <w:r w:rsidRPr="004B6B2C">
        <w:rPr>
          <w:rFonts w:ascii="Times New Roman" w:hAnsi="Times New Roman" w:cs="Times New Roman"/>
        </w:rPr>
        <w:t>.</w:t>
      </w:r>
    </w:p>
    <w:p w:rsidR="00F52B6A" w:rsidRDefault="00F52B6A" w:rsidP="00544C9E">
      <w:pPr>
        <w:spacing w:after="120" w:line="240" w:lineRule="auto"/>
        <w:ind w:left="340"/>
        <w:jc w:val="both"/>
        <w:rPr>
          <w:rFonts w:ascii="Times New Roman" w:hAnsi="Times New Roman" w:cs="Times New Roman"/>
        </w:rPr>
      </w:pPr>
      <w:r w:rsidRPr="00F52B6A">
        <w:rPr>
          <w:rFonts w:ascii="Times New Roman" w:hAnsi="Times New Roman" w:cs="Times New Roman"/>
          <w:b/>
        </w:rPr>
        <w:t>Napomena:</w:t>
      </w:r>
      <w:r>
        <w:rPr>
          <w:rFonts w:ascii="Times New Roman" w:hAnsi="Times New Roman" w:cs="Times New Roman"/>
        </w:rPr>
        <w:t xml:space="preserve"> za svaku aktivnost potrebno je popuniti zasebni prijavni obrazac. </w:t>
      </w:r>
    </w:p>
    <w:p w:rsidR="004B6B2C" w:rsidRDefault="004B6B2C" w:rsidP="00544C9E">
      <w:pPr>
        <w:spacing w:after="12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4B6B2C">
        <w:rPr>
          <w:rFonts w:ascii="Times New Roman" w:hAnsi="Times New Roman" w:cs="Times New Roman"/>
        </w:rPr>
        <w:t>sti korisnik može ostvariti pravo na maksimalno jednu financijsku podršku za istu vrstu aktivnosti</w:t>
      </w:r>
      <w:r>
        <w:rPr>
          <w:rFonts w:ascii="Times New Roman" w:hAnsi="Times New Roman" w:cs="Times New Roman"/>
        </w:rPr>
        <w:t>,</w:t>
      </w:r>
      <w:r w:rsidRPr="004B6B2C">
        <w:rPr>
          <w:rFonts w:ascii="Times New Roman" w:hAnsi="Times New Roman" w:cs="Times New Roman"/>
        </w:rPr>
        <w:t xml:space="preserve"> za isti projektni prijedlog/projekt.  </w:t>
      </w:r>
    </w:p>
    <w:p w:rsidR="004B6B2C" w:rsidRDefault="004B6B2C" w:rsidP="004B6B2C">
      <w:pPr>
        <w:spacing w:after="60" w:line="240" w:lineRule="auto"/>
        <w:ind w:left="340"/>
        <w:jc w:val="both"/>
        <w:rPr>
          <w:rFonts w:ascii="Times New Roman" w:hAnsi="Times New Roman" w:cs="Times New Roman"/>
        </w:rPr>
      </w:pPr>
      <w:r w:rsidRPr="004B6B2C">
        <w:rPr>
          <w:rFonts w:ascii="Times New Roman" w:hAnsi="Times New Roman" w:cs="Times New Roman"/>
          <w:u w:val="single"/>
        </w:rPr>
        <w:t>Maksimalna financijska podrška</w:t>
      </w:r>
      <w:r w:rsidRPr="004B6B2C">
        <w:rPr>
          <w:rFonts w:ascii="Times New Roman" w:hAnsi="Times New Roman" w:cs="Times New Roman"/>
        </w:rPr>
        <w:t xml:space="preserve"> koju korisn</w:t>
      </w:r>
      <w:r>
        <w:rPr>
          <w:rFonts w:ascii="Times New Roman" w:hAnsi="Times New Roman" w:cs="Times New Roman"/>
        </w:rPr>
        <w:t>ik može ostvariti u okviru ove mjere:</w:t>
      </w:r>
    </w:p>
    <w:p w:rsidR="004B6B2C" w:rsidRPr="004B6B2C" w:rsidRDefault="004B6B2C" w:rsidP="004B6B2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6B2C">
        <w:rPr>
          <w:rFonts w:ascii="Times New Roman" w:hAnsi="Times New Roman" w:cs="Times New Roman"/>
        </w:rPr>
        <w:t>za aktivnosti pod točkama 1., 2., 3. i 5. do 5.000,00 HRK po aktivnosti</w:t>
      </w:r>
    </w:p>
    <w:p w:rsidR="004B6B2C" w:rsidRPr="004B6B2C" w:rsidRDefault="004B6B2C" w:rsidP="004B6B2C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4B6B2C">
        <w:rPr>
          <w:rFonts w:ascii="Times New Roman" w:hAnsi="Times New Roman" w:cs="Times New Roman"/>
        </w:rPr>
        <w:t>za aktivnosti pod točkama  4. i. 6.  do 10.000,00  HRK po aktivnosti</w:t>
      </w:r>
    </w:p>
    <w:p w:rsidR="004B6B2C" w:rsidRDefault="004B6B2C" w:rsidP="004B6B2C">
      <w:pPr>
        <w:spacing w:after="60" w:line="240" w:lineRule="auto"/>
        <w:ind w:left="340"/>
        <w:rPr>
          <w:rFonts w:ascii="Times New Roman" w:hAnsi="Times New Roman" w:cs="Times New Roman"/>
        </w:rPr>
      </w:pPr>
      <w:r w:rsidRPr="004B6B2C">
        <w:rPr>
          <w:rFonts w:ascii="Times New Roman" w:hAnsi="Times New Roman" w:cs="Times New Roman"/>
          <w:u w:val="single"/>
        </w:rPr>
        <w:t>Prihvatljivi troškovi</w:t>
      </w:r>
      <w:r w:rsidRPr="004B6B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4B6B2C">
        <w:rPr>
          <w:rFonts w:ascii="Times New Roman" w:hAnsi="Times New Roman" w:cs="Times New Roman"/>
        </w:rPr>
        <w:t>a aktivnosti pod točkama 1.-3.</w:t>
      </w:r>
      <w:r>
        <w:rPr>
          <w:rFonts w:ascii="Times New Roman" w:hAnsi="Times New Roman" w:cs="Times New Roman"/>
        </w:rPr>
        <w:t xml:space="preserve"> te 5.:</w:t>
      </w:r>
    </w:p>
    <w:p w:rsidR="004B6B2C" w:rsidRPr="004B6B2C" w:rsidRDefault="004B6B2C" w:rsidP="004B6B2C">
      <w:pPr>
        <w:pStyle w:val="ListParagraph"/>
        <w:numPr>
          <w:ilvl w:val="0"/>
          <w:numId w:val="4"/>
        </w:numPr>
        <w:spacing w:after="0" w:line="240" w:lineRule="auto"/>
        <w:ind w:left="1037" w:hanging="357"/>
        <w:rPr>
          <w:rFonts w:ascii="Times New Roman" w:hAnsi="Times New Roman" w:cs="Times New Roman"/>
        </w:rPr>
      </w:pPr>
      <w:r w:rsidRPr="004B6B2C">
        <w:rPr>
          <w:rFonts w:ascii="Times New Roman" w:hAnsi="Times New Roman" w:cs="Times New Roman"/>
        </w:rPr>
        <w:t>putovanja javnim prijevozom</w:t>
      </w:r>
    </w:p>
    <w:p w:rsidR="004B6B2C" w:rsidRDefault="004B6B2C" w:rsidP="004B6B2C">
      <w:pPr>
        <w:pStyle w:val="ListParagraph"/>
        <w:numPr>
          <w:ilvl w:val="0"/>
          <w:numId w:val="4"/>
        </w:numPr>
        <w:spacing w:after="0" w:line="240" w:lineRule="auto"/>
        <w:ind w:left="1037" w:hanging="357"/>
        <w:rPr>
          <w:rFonts w:ascii="Times New Roman" w:hAnsi="Times New Roman" w:cs="Times New Roman"/>
        </w:rPr>
      </w:pPr>
      <w:r w:rsidRPr="004B6B2C">
        <w:rPr>
          <w:rFonts w:ascii="Times New Roman" w:hAnsi="Times New Roman" w:cs="Times New Roman"/>
        </w:rPr>
        <w:t xml:space="preserve">smještaja i/ili </w:t>
      </w:r>
    </w:p>
    <w:p w:rsidR="004B6B2C" w:rsidRDefault="004B6B2C" w:rsidP="004B6B2C">
      <w:pPr>
        <w:pStyle w:val="ListParagraph"/>
        <w:numPr>
          <w:ilvl w:val="0"/>
          <w:numId w:val="4"/>
        </w:numPr>
        <w:spacing w:after="120" w:line="240" w:lineRule="auto"/>
        <w:ind w:left="1037" w:hanging="357"/>
        <w:contextualSpacing w:val="0"/>
        <w:rPr>
          <w:rFonts w:ascii="Times New Roman" w:hAnsi="Times New Roman" w:cs="Times New Roman"/>
        </w:rPr>
      </w:pPr>
      <w:r w:rsidRPr="004B6B2C">
        <w:rPr>
          <w:rFonts w:ascii="Times New Roman" w:hAnsi="Times New Roman" w:cs="Times New Roman"/>
        </w:rPr>
        <w:lastRenderedPageBreak/>
        <w:t xml:space="preserve">kotizacije. </w:t>
      </w:r>
    </w:p>
    <w:p w:rsidR="00202018" w:rsidRPr="001D42B1" w:rsidRDefault="001D42B1" w:rsidP="001D42B1">
      <w:pPr>
        <w:spacing w:after="12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* M</w:t>
      </w:r>
      <w:r w:rsidR="00202018" w:rsidRPr="001D42B1">
        <w:rPr>
          <w:rFonts w:ascii="Times New Roman" w:hAnsi="Times New Roman" w:cs="Times New Roman"/>
        </w:rPr>
        <w:t>ikro, mali i srednje veliki poduzetnici ne mogu ostvariti pravo na potporu za aktivnosti točke 4. (trošak savjetodavnih usluga za pripremu i pisanje projektne prijave)</w:t>
      </w:r>
      <w:r>
        <w:rPr>
          <w:rFonts w:ascii="Times New Roman" w:hAnsi="Times New Roman" w:cs="Times New Roman"/>
        </w:rPr>
        <w:t>.</w:t>
      </w:r>
    </w:p>
    <w:p w:rsidR="004B6B2C" w:rsidRDefault="004B6B2C" w:rsidP="004B6B2C">
      <w:pPr>
        <w:spacing w:after="60"/>
        <w:ind w:left="45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Izvještavanje:</w:t>
      </w:r>
    </w:p>
    <w:p w:rsidR="004B6B2C" w:rsidRPr="004B6B2C" w:rsidRDefault="004B6B2C" w:rsidP="004B6B2C">
      <w:pPr>
        <w:pStyle w:val="ListParagraph"/>
        <w:numPr>
          <w:ilvl w:val="0"/>
          <w:numId w:val="13"/>
        </w:numPr>
        <w:spacing w:after="60" w:line="240" w:lineRule="auto"/>
        <w:ind w:left="1066" w:hanging="357"/>
        <w:contextualSpacing w:val="0"/>
        <w:rPr>
          <w:rFonts w:ascii="Times New Roman" w:hAnsi="Times New Roman" w:cs="Times New Roman"/>
        </w:rPr>
      </w:pPr>
      <w:r w:rsidRPr="004B6B2C">
        <w:rPr>
          <w:rFonts w:ascii="Times New Roman" w:hAnsi="Times New Roman" w:cs="Times New Roman"/>
        </w:rPr>
        <w:t>u roku od 30 dana od dana završetka aktivnosti koju je Ministarstvo financijski poduprlo, na propisanom obrascu</w:t>
      </w:r>
    </w:p>
    <w:p w:rsidR="004B6B2C" w:rsidRPr="001D42B1" w:rsidRDefault="004B6B2C" w:rsidP="004B6B2C">
      <w:pPr>
        <w:spacing w:after="60"/>
        <w:ind w:left="454"/>
        <w:rPr>
          <w:rFonts w:ascii="Times New Roman" w:hAnsi="Times New Roman" w:cs="Times New Roman"/>
        </w:rPr>
      </w:pPr>
      <w:r w:rsidRPr="001D42B1">
        <w:rPr>
          <w:rFonts w:ascii="Times New Roman" w:hAnsi="Times New Roman" w:cs="Times New Roman"/>
          <w:u w:val="single"/>
        </w:rPr>
        <w:t>Napomena:</w:t>
      </w:r>
      <w:r w:rsidRPr="001D42B1">
        <w:rPr>
          <w:rFonts w:ascii="Times New Roman" w:hAnsi="Times New Roman" w:cs="Times New Roman"/>
        </w:rPr>
        <w:t xml:space="preserve"> </w:t>
      </w:r>
    </w:p>
    <w:p w:rsidR="004B6B2C" w:rsidRPr="004B6B2C" w:rsidRDefault="004B6B2C" w:rsidP="004B6B2C">
      <w:pPr>
        <w:spacing w:after="240" w:line="240" w:lineRule="auto"/>
        <w:ind w:left="454"/>
        <w:jc w:val="both"/>
        <w:rPr>
          <w:rFonts w:ascii="Times New Roman" w:hAnsi="Times New Roman" w:cs="Times New Roman"/>
        </w:rPr>
      </w:pPr>
      <w:r w:rsidRPr="004B6B2C">
        <w:rPr>
          <w:rFonts w:ascii="Times New Roman" w:hAnsi="Times New Roman" w:cs="Times New Roman"/>
        </w:rPr>
        <w:t xml:space="preserve">U slučaju da korisnik nakon dobivene financijske podrške, ne podnese projektnu prijavu na poziv raspisan u okviru Obzor 2020. programa, korisnik gubi mogućnost korištenja nove financijske podrške temeljem ove mjere na rok od 12 mjeseci od dana završetka poziva raspisanog u okviru </w:t>
      </w:r>
      <w:r w:rsidR="001D42B1">
        <w:rPr>
          <w:rFonts w:ascii="Times New Roman" w:hAnsi="Times New Roman" w:cs="Times New Roman"/>
        </w:rPr>
        <w:t xml:space="preserve">programa </w:t>
      </w:r>
      <w:r w:rsidRPr="004B6B2C">
        <w:rPr>
          <w:rFonts w:ascii="Times New Roman" w:hAnsi="Times New Roman" w:cs="Times New Roman"/>
        </w:rPr>
        <w:t xml:space="preserve">Obzor 2020. na koji se </w:t>
      </w:r>
      <w:r w:rsidR="001D42B1">
        <w:rPr>
          <w:rFonts w:ascii="Times New Roman" w:hAnsi="Times New Roman" w:cs="Times New Roman"/>
        </w:rPr>
        <w:t>prijavitelj</w:t>
      </w:r>
      <w:r>
        <w:rPr>
          <w:rFonts w:ascii="Times New Roman" w:hAnsi="Times New Roman" w:cs="Times New Roman"/>
        </w:rPr>
        <w:t xml:space="preserve"> </w:t>
      </w:r>
      <w:r w:rsidR="001D42B1">
        <w:rPr>
          <w:rFonts w:ascii="Times New Roman" w:hAnsi="Times New Roman" w:cs="Times New Roman"/>
        </w:rPr>
        <w:t xml:space="preserve">u Obrascu </w:t>
      </w:r>
      <w:r w:rsidRPr="004B6B2C">
        <w:rPr>
          <w:rFonts w:ascii="Times New Roman" w:hAnsi="Times New Roman" w:cs="Times New Roman"/>
        </w:rPr>
        <w:t>obvezao prijaviti.</w:t>
      </w:r>
    </w:p>
    <w:p w:rsidR="004B6B2C" w:rsidRDefault="001D42B1" w:rsidP="004B6B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Mjera </w:t>
      </w:r>
      <w:r w:rsidR="004B6B2C" w:rsidRPr="004B6B2C">
        <w:rPr>
          <w:rFonts w:ascii="Times New Roman" w:hAnsi="Times New Roman" w:cs="Times New Roman"/>
          <w:b/>
        </w:rPr>
        <w:t>podršk</w:t>
      </w:r>
      <w:r>
        <w:rPr>
          <w:rFonts w:ascii="Times New Roman" w:hAnsi="Times New Roman" w:cs="Times New Roman"/>
          <w:b/>
        </w:rPr>
        <w:t>e</w:t>
      </w:r>
      <w:r w:rsidR="004B6B2C" w:rsidRPr="004B6B2C">
        <w:rPr>
          <w:rFonts w:ascii="Times New Roman" w:hAnsi="Times New Roman" w:cs="Times New Roman"/>
          <w:b/>
        </w:rPr>
        <w:t xml:space="preserve"> projektima koji su dobili pozitivan evaluacijski izvješta</w:t>
      </w:r>
      <w:r w:rsidR="00F52B6A">
        <w:rPr>
          <w:rFonts w:ascii="Times New Roman" w:hAnsi="Times New Roman" w:cs="Times New Roman"/>
          <w:b/>
        </w:rPr>
        <w:t>j nakon 1.1.2017</w:t>
      </w:r>
      <w:r w:rsidR="004B6B2C" w:rsidRPr="004B6B2C">
        <w:rPr>
          <w:rFonts w:ascii="Times New Roman" w:hAnsi="Times New Roman" w:cs="Times New Roman"/>
          <w:b/>
        </w:rPr>
        <w:t>., ali nisu bili financirani od strane Europske komisije</w:t>
      </w:r>
    </w:p>
    <w:p w:rsidR="004B6B2C" w:rsidRDefault="004B6B2C" w:rsidP="004B6B2C">
      <w:pPr>
        <w:pStyle w:val="ListParagraph"/>
        <w:spacing w:after="6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Prijavitelj ove mjere može </w:t>
      </w:r>
      <w:r w:rsidRPr="004B6B2C">
        <w:rPr>
          <w:rFonts w:ascii="Times New Roman" w:hAnsi="Times New Roman" w:cs="Times New Roman"/>
        </w:rPr>
        <w:t>ostvariti jednokratnu financijsku podršku kojom može financirati priprem</w:t>
      </w:r>
      <w:r>
        <w:rPr>
          <w:rFonts w:ascii="Times New Roman" w:hAnsi="Times New Roman" w:cs="Times New Roman"/>
        </w:rPr>
        <w:t>u</w:t>
      </w:r>
      <w:r w:rsidRPr="004B6B2C">
        <w:rPr>
          <w:rFonts w:ascii="Times New Roman" w:hAnsi="Times New Roman" w:cs="Times New Roman"/>
        </w:rPr>
        <w:t xml:space="preserve"> budućih  projektnih prijedloga</w:t>
      </w:r>
      <w:r w:rsidR="001D42B1">
        <w:rPr>
          <w:rFonts w:ascii="Times New Roman" w:hAnsi="Times New Roman" w:cs="Times New Roman"/>
        </w:rPr>
        <w:t xml:space="preserve">. </w:t>
      </w:r>
    </w:p>
    <w:p w:rsidR="004B6B2C" w:rsidRPr="004B6B2C" w:rsidRDefault="004B6B2C" w:rsidP="004B6B2C">
      <w:pPr>
        <w:pStyle w:val="ListParagraph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4B6B2C">
        <w:rPr>
          <w:rFonts w:ascii="Times New Roman" w:hAnsi="Times New Roman" w:cs="Times New Roman"/>
        </w:rPr>
        <w:t>Za pozive koji imaju dvije faze evaluacije, projekt koji se prijavljuje na poziv temeljem ove Odluke</w:t>
      </w:r>
      <w:r w:rsidR="001D42B1">
        <w:rPr>
          <w:rFonts w:ascii="Times New Roman" w:hAnsi="Times New Roman" w:cs="Times New Roman"/>
        </w:rPr>
        <w:t>,</w:t>
      </w:r>
      <w:r w:rsidRPr="004B6B2C">
        <w:rPr>
          <w:rFonts w:ascii="Times New Roman" w:hAnsi="Times New Roman" w:cs="Times New Roman"/>
        </w:rPr>
        <w:t xml:space="preserve"> mora biti pozitivno evaluiran u drugom krugu evaluacije.   </w:t>
      </w:r>
    </w:p>
    <w:p w:rsidR="004B6B2C" w:rsidRPr="004B6B2C" w:rsidRDefault="004B6B2C" w:rsidP="001D42B1">
      <w:pPr>
        <w:spacing w:after="60"/>
        <w:ind w:left="340"/>
        <w:rPr>
          <w:rFonts w:ascii="Times New Roman" w:hAnsi="Times New Roman" w:cs="Times New Roman"/>
          <w:u w:val="single"/>
        </w:rPr>
      </w:pPr>
      <w:r w:rsidRPr="004B6B2C">
        <w:rPr>
          <w:rFonts w:ascii="Times New Roman" w:hAnsi="Times New Roman" w:cs="Times New Roman"/>
          <w:u w:val="single"/>
        </w:rPr>
        <w:t>Način prijave:</w:t>
      </w:r>
    </w:p>
    <w:p w:rsidR="004B6B2C" w:rsidRPr="004B6B2C" w:rsidRDefault="004B6B2C" w:rsidP="001D42B1">
      <w:pPr>
        <w:pStyle w:val="ListParagraph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Ministarstvu znanosti i obrazovanja potrebno je dostaviti</w:t>
      </w:r>
      <w:r w:rsidRPr="004B6B2C">
        <w:rPr>
          <w:rFonts w:ascii="Times New Roman" w:hAnsi="Times New Roman" w:cs="Times New Roman"/>
        </w:rPr>
        <w:t xml:space="preserve">: </w:t>
      </w:r>
    </w:p>
    <w:p w:rsidR="004B6B2C" w:rsidRPr="004B6B2C" w:rsidRDefault="004B6B2C" w:rsidP="004B6B2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B6B2C">
        <w:rPr>
          <w:rFonts w:ascii="Times New Roman" w:hAnsi="Times New Roman" w:cs="Times New Roman"/>
        </w:rPr>
        <w:t xml:space="preserve">ispunjeni </w:t>
      </w:r>
      <w:r w:rsidR="00F52B6A" w:rsidRPr="00F52B6A">
        <w:rPr>
          <w:rFonts w:ascii="Times New Roman" w:hAnsi="Times New Roman" w:cs="Times New Roman"/>
          <w:b/>
        </w:rPr>
        <w:t xml:space="preserve">jedinstveni </w:t>
      </w:r>
      <w:r w:rsidR="00F52B6A">
        <w:rPr>
          <w:rFonts w:ascii="Times New Roman" w:hAnsi="Times New Roman" w:cs="Times New Roman"/>
        </w:rPr>
        <w:t>prijavni O</w:t>
      </w:r>
      <w:r w:rsidRPr="004B6B2C">
        <w:rPr>
          <w:rFonts w:ascii="Times New Roman" w:hAnsi="Times New Roman" w:cs="Times New Roman"/>
        </w:rPr>
        <w:t>brazac</w:t>
      </w:r>
      <w:r w:rsidR="00F52B6A">
        <w:rPr>
          <w:rFonts w:ascii="Times New Roman" w:hAnsi="Times New Roman" w:cs="Times New Roman"/>
        </w:rPr>
        <w:t xml:space="preserve"> – odabrana aktivnost pod rednim brojem 7. u točci 10. Obrasca </w:t>
      </w:r>
      <w:r w:rsidR="00F52B6A" w:rsidRPr="004B6B2C">
        <w:rPr>
          <w:rFonts w:ascii="Times New Roman" w:hAnsi="Times New Roman" w:cs="Times New Roman"/>
        </w:rPr>
        <w:t>(</w:t>
      </w:r>
      <w:r w:rsidR="001D42B1">
        <w:rPr>
          <w:rFonts w:ascii="Times New Roman" w:hAnsi="Times New Roman" w:cs="Times New Roman"/>
        </w:rPr>
        <w:t xml:space="preserve">koji se nalazi </w:t>
      </w:r>
      <w:r w:rsidR="00F52B6A">
        <w:rPr>
          <w:rFonts w:ascii="Times New Roman" w:hAnsi="Times New Roman" w:cs="Times New Roman"/>
        </w:rPr>
        <w:t>u prilogu</w:t>
      </w:r>
      <w:r w:rsidR="00F52B6A" w:rsidRPr="004B6B2C">
        <w:rPr>
          <w:rFonts w:ascii="Times New Roman" w:hAnsi="Times New Roman" w:cs="Times New Roman"/>
        </w:rPr>
        <w:t>)</w:t>
      </w:r>
      <w:r w:rsidRPr="004B6B2C">
        <w:rPr>
          <w:rFonts w:ascii="Times New Roman" w:hAnsi="Times New Roman" w:cs="Times New Roman"/>
        </w:rPr>
        <w:t xml:space="preserve">, </w:t>
      </w:r>
    </w:p>
    <w:p w:rsidR="004B6B2C" w:rsidRDefault="004B6B2C" w:rsidP="001D42B1">
      <w:pPr>
        <w:pStyle w:val="ListParagraph"/>
        <w:numPr>
          <w:ilvl w:val="0"/>
          <w:numId w:val="8"/>
        </w:numPr>
        <w:spacing w:after="60" w:line="240" w:lineRule="auto"/>
        <w:ind w:left="1145" w:hanging="357"/>
        <w:contextualSpacing w:val="0"/>
        <w:rPr>
          <w:rFonts w:ascii="Times New Roman" w:hAnsi="Times New Roman" w:cs="Times New Roman"/>
        </w:rPr>
      </w:pPr>
      <w:r w:rsidRPr="004B6B2C">
        <w:rPr>
          <w:rFonts w:ascii="Times New Roman" w:hAnsi="Times New Roman" w:cs="Times New Roman"/>
          <w:b/>
        </w:rPr>
        <w:t>evaluacijski izvještaj projekta</w:t>
      </w:r>
      <w:r w:rsidRPr="004B6B2C">
        <w:rPr>
          <w:rFonts w:ascii="Times New Roman" w:hAnsi="Times New Roman" w:cs="Times New Roman"/>
        </w:rPr>
        <w:t xml:space="preserve"> (ESR) iz kojega je vidljivo  koliko je bodova projekt ostvario u evaluacijskom postupku, te koliki je bio maksimalni broj bodova u pozivu. </w:t>
      </w:r>
    </w:p>
    <w:p w:rsidR="001D42B1" w:rsidRPr="001D42B1" w:rsidRDefault="001D42B1" w:rsidP="001D42B1">
      <w:pPr>
        <w:spacing w:after="120" w:line="240" w:lineRule="auto"/>
        <w:ind w:left="340"/>
        <w:jc w:val="both"/>
        <w:rPr>
          <w:rFonts w:ascii="Times New Roman" w:hAnsi="Times New Roman" w:cs="Times New Roman"/>
        </w:rPr>
      </w:pPr>
      <w:r w:rsidRPr="001D42B1">
        <w:rPr>
          <w:rFonts w:ascii="Times New Roman" w:hAnsi="Times New Roman" w:cs="Times New Roman"/>
          <w:b/>
        </w:rPr>
        <w:t xml:space="preserve">Popunjeni i </w:t>
      </w:r>
      <w:proofErr w:type="spellStart"/>
      <w:r w:rsidRPr="001D42B1">
        <w:rPr>
          <w:rFonts w:ascii="Times New Roman" w:hAnsi="Times New Roman" w:cs="Times New Roman"/>
          <w:b/>
        </w:rPr>
        <w:t>pečatirani</w:t>
      </w:r>
      <w:proofErr w:type="spellEnd"/>
      <w:r w:rsidRPr="001D42B1">
        <w:rPr>
          <w:rFonts w:ascii="Times New Roman" w:hAnsi="Times New Roman" w:cs="Times New Roman"/>
          <w:b/>
        </w:rPr>
        <w:t xml:space="preserve"> prijavni </w:t>
      </w:r>
      <w:r>
        <w:rPr>
          <w:rFonts w:ascii="Times New Roman" w:hAnsi="Times New Roman" w:cs="Times New Roman"/>
          <w:b/>
        </w:rPr>
        <w:t>O</w:t>
      </w:r>
      <w:r w:rsidRPr="001D42B1">
        <w:rPr>
          <w:rFonts w:ascii="Times New Roman" w:hAnsi="Times New Roman" w:cs="Times New Roman"/>
          <w:b/>
        </w:rPr>
        <w:t>brazac</w:t>
      </w:r>
      <w:r w:rsidRPr="001D42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ispis evaluacijskog izvještaja, </w:t>
      </w:r>
      <w:r w:rsidRPr="001D42B1">
        <w:rPr>
          <w:rFonts w:ascii="Times New Roman" w:hAnsi="Times New Roman" w:cs="Times New Roman"/>
        </w:rPr>
        <w:t xml:space="preserve">dostavlja se Ministarstvu znanosti i obrazovanja u digitalnom obliku, na e-mail adresu: </w:t>
      </w:r>
      <w:hyperlink r:id="rId7" w:history="1">
        <w:r w:rsidR="0042505C" w:rsidRPr="00171A57">
          <w:rPr>
            <w:rStyle w:val="Hyperlink"/>
            <w:rFonts w:ascii="Times New Roman" w:hAnsi="Times New Roman" w:cs="Times New Roman"/>
          </w:rPr>
          <w:t>O2020_mjere_2018@mzo.hr</w:t>
        </w:r>
      </w:hyperlink>
      <w:r w:rsidRPr="001D42B1">
        <w:rPr>
          <w:rFonts w:ascii="Times New Roman" w:hAnsi="Times New Roman" w:cs="Times New Roman"/>
        </w:rPr>
        <w:t>.</w:t>
      </w:r>
    </w:p>
    <w:p w:rsidR="004B6B2C" w:rsidRPr="004B6B2C" w:rsidRDefault="004B6B2C" w:rsidP="001D42B1">
      <w:pPr>
        <w:pStyle w:val="ListParagraph"/>
        <w:spacing w:after="180"/>
        <w:ind w:left="340"/>
        <w:contextualSpacing w:val="0"/>
        <w:jc w:val="both"/>
        <w:rPr>
          <w:rFonts w:ascii="Times New Roman" w:eastAsia="Times New Roman" w:hAnsi="Times New Roman" w:cs="Arial"/>
          <w:szCs w:val="24"/>
          <w:lang w:eastAsia="hr-HR"/>
        </w:rPr>
      </w:pPr>
      <w:r w:rsidRPr="004B6B2C">
        <w:rPr>
          <w:rFonts w:ascii="Times New Roman" w:eastAsia="Times New Roman" w:hAnsi="Times New Roman" w:cs="Arial"/>
          <w:szCs w:val="24"/>
          <w:u w:val="single"/>
          <w:lang w:eastAsia="hr-HR"/>
        </w:rPr>
        <w:t>Maksimalna financijska podrška</w:t>
      </w:r>
      <w:r w:rsidRPr="00274386">
        <w:rPr>
          <w:rFonts w:ascii="Times New Roman" w:eastAsia="Times New Roman" w:hAnsi="Times New Roman" w:cs="Arial"/>
          <w:szCs w:val="24"/>
          <w:lang w:eastAsia="hr-HR"/>
        </w:rPr>
        <w:t xml:space="preserve"> koju korisnik može ost</w:t>
      </w:r>
      <w:r>
        <w:rPr>
          <w:rFonts w:ascii="Times New Roman" w:eastAsia="Times New Roman" w:hAnsi="Times New Roman" w:cs="Arial"/>
          <w:szCs w:val="24"/>
          <w:lang w:eastAsia="hr-HR"/>
        </w:rPr>
        <w:t xml:space="preserve">variti u okviru ove mjere: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2551"/>
        <w:gridCol w:w="2410"/>
      </w:tblGrid>
      <w:tr w:rsidR="004B6B2C" w:rsidTr="001D42B1">
        <w:trPr>
          <w:trHeight w:val="288"/>
        </w:trPr>
        <w:tc>
          <w:tcPr>
            <w:tcW w:w="3260" w:type="dxa"/>
          </w:tcPr>
          <w:p w:rsidR="004B6B2C" w:rsidRPr="001D42B1" w:rsidRDefault="004B6B2C" w:rsidP="004B6B2C">
            <w:pPr>
              <w:rPr>
                <w:rFonts w:cs="Arial"/>
                <w:b/>
                <w:sz w:val="22"/>
                <w:szCs w:val="24"/>
              </w:rPr>
            </w:pPr>
            <w:r w:rsidRPr="001D42B1">
              <w:rPr>
                <w:rFonts w:cs="Arial"/>
                <w:b/>
                <w:sz w:val="22"/>
                <w:szCs w:val="24"/>
              </w:rPr>
              <w:t xml:space="preserve">Uloga na projektu </w:t>
            </w:r>
          </w:p>
        </w:tc>
        <w:tc>
          <w:tcPr>
            <w:tcW w:w="2551" w:type="dxa"/>
          </w:tcPr>
          <w:p w:rsidR="004B6B2C" w:rsidRPr="001D42B1" w:rsidRDefault="004B6B2C" w:rsidP="004B6B2C">
            <w:pPr>
              <w:rPr>
                <w:rFonts w:cs="Arial"/>
                <w:b/>
                <w:sz w:val="22"/>
                <w:szCs w:val="24"/>
              </w:rPr>
            </w:pPr>
            <w:r w:rsidRPr="001D42B1">
              <w:rPr>
                <w:rFonts w:cs="Arial"/>
                <w:b/>
                <w:sz w:val="22"/>
                <w:szCs w:val="24"/>
              </w:rPr>
              <w:t xml:space="preserve">Broj bodova </w:t>
            </w:r>
          </w:p>
        </w:tc>
        <w:tc>
          <w:tcPr>
            <w:tcW w:w="2410" w:type="dxa"/>
          </w:tcPr>
          <w:p w:rsidR="004B6B2C" w:rsidRPr="001D42B1" w:rsidRDefault="004B6B2C" w:rsidP="004B6B2C">
            <w:pPr>
              <w:pStyle w:val="ListParagraph"/>
              <w:ind w:left="340"/>
              <w:rPr>
                <w:rFonts w:cs="Arial"/>
                <w:b/>
                <w:sz w:val="22"/>
                <w:szCs w:val="24"/>
              </w:rPr>
            </w:pPr>
            <w:r w:rsidRPr="001D42B1">
              <w:rPr>
                <w:rFonts w:cs="Arial"/>
                <w:b/>
                <w:sz w:val="22"/>
                <w:szCs w:val="24"/>
              </w:rPr>
              <w:t>Maksimalna kontribucija</w:t>
            </w:r>
          </w:p>
        </w:tc>
      </w:tr>
      <w:tr w:rsidR="004B6B2C" w:rsidTr="001D42B1">
        <w:tc>
          <w:tcPr>
            <w:tcW w:w="3260" w:type="dxa"/>
          </w:tcPr>
          <w:p w:rsidR="004B6B2C" w:rsidRPr="001D42B1" w:rsidRDefault="004B6B2C" w:rsidP="004B6B2C">
            <w:pPr>
              <w:rPr>
                <w:rFonts w:cs="Arial"/>
                <w:sz w:val="22"/>
                <w:szCs w:val="24"/>
              </w:rPr>
            </w:pPr>
            <w:r w:rsidRPr="001D42B1">
              <w:rPr>
                <w:rFonts w:cs="Arial"/>
                <w:sz w:val="22"/>
                <w:szCs w:val="24"/>
              </w:rPr>
              <w:t>Prijavitelj je koordinator</w:t>
            </w:r>
          </w:p>
        </w:tc>
        <w:tc>
          <w:tcPr>
            <w:tcW w:w="2551" w:type="dxa"/>
          </w:tcPr>
          <w:p w:rsidR="004B6B2C" w:rsidRPr="001D42B1" w:rsidRDefault="004B6B2C" w:rsidP="004B6B2C">
            <w:pPr>
              <w:rPr>
                <w:rFonts w:cs="Arial"/>
                <w:sz w:val="22"/>
                <w:szCs w:val="24"/>
              </w:rPr>
            </w:pPr>
            <w:r w:rsidRPr="001D42B1">
              <w:rPr>
                <w:rFonts w:cs="Arial"/>
                <w:sz w:val="22"/>
                <w:szCs w:val="24"/>
              </w:rPr>
              <w:t>85% ili više u odnosu na  maksimalni broj bodova</w:t>
            </w:r>
          </w:p>
        </w:tc>
        <w:tc>
          <w:tcPr>
            <w:tcW w:w="2410" w:type="dxa"/>
          </w:tcPr>
          <w:p w:rsidR="004B6B2C" w:rsidRPr="001D42B1" w:rsidRDefault="004B6B2C" w:rsidP="004B6B2C">
            <w:pPr>
              <w:rPr>
                <w:rFonts w:cs="Arial"/>
                <w:sz w:val="22"/>
                <w:szCs w:val="24"/>
              </w:rPr>
            </w:pPr>
            <w:r w:rsidRPr="001D42B1">
              <w:rPr>
                <w:rFonts w:cs="Arial"/>
                <w:sz w:val="22"/>
                <w:szCs w:val="24"/>
              </w:rPr>
              <w:t>do 40.000,00 HRK  po projektu</w:t>
            </w:r>
          </w:p>
        </w:tc>
      </w:tr>
      <w:tr w:rsidR="004B6B2C" w:rsidTr="001D42B1">
        <w:tc>
          <w:tcPr>
            <w:tcW w:w="3260" w:type="dxa"/>
          </w:tcPr>
          <w:p w:rsidR="004B6B2C" w:rsidRPr="001D42B1" w:rsidRDefault="004B6B2C" w:rsidP="004B6B2C">
            <w:pPr>
              <w:rPr>
                <w:rFonts w:cs="Arial"/>
                <w:sz w:val="22"/>
                <w:szCs w:val="24"/>
              </w:rPr>
            </w:pPr>
            <w:r w:rsidRPr="001D42B1">
              <w:rPr>
                <w:rFonts w:cs="Arial"/>
                <w:sz w:val="22"/>
                <w:szCs w:val="24"/>
              </w:rPr>
              <w:t>Prijavitelj je koordinator</w:t>
            </w:r>
          </w:p>
        </w:tc>
        <w:tc>
          <w:tcPr>
            <w:tcW w:w="2551" w:type="dxa"/>
          </w:tcPr>
          <w:p w:rsidR="004B6B2C" w:rsidRPr="001D42B1" w:rsidRDefault="004B6B2C" w:rsidP="00005CD9">
            <w:pPr>
              <w:rPr>
                <w:rFonts w:cs="Arial"/>
                <w:sz w:val="22"/>
                <w:szCs w:val="24"/>
              </w:rPr>
            </w:pPr>
            <w:r w:rsidRPr="001D42B1">
              <w:rPr>
                <w:rFonts w:cs="Arial"/>
                <w:sz w:val="22"/>
                <w:szCs w:val="24"/>
              </w:rPr>
              <w:t xml:space="preserve">od </w:t>
            </w:r>
            <w:r w:rsidR="00005CD9">
              <w:rPr>
                <w:rFonts w:cs="Arial"/>
                <w:sz w:val="22"/>
                <w:szCs w:val="24"/>
              </w:rPr>
              <w:t>70</w:t>
            </w:r>
            <w:r w:rsidRPr="001D42B1">
              <w:rPr>
                <w:rFonts w:cs="Arial"/>
                <w:sz w:val="22"/>
                <w:szCs w:val="24"/>
              </w:rPr>
              <w:t>% do 84% u odnosu na  maksimalni broj bodova</w:t>
            </w:r>
          </w:p>
        </w:tc>
        <w:tc>
          <w:tcPr>
            <w:tcW w:w="2410" w:type="dxa"/>
          </w:tcPr>
          <w:p w:rsidR="004B6B2C" w:rsidRPr="001D42B1" w:rsidRDefault="004B6B2C" w:rsidP="004B6B2C">
            <w:pPr>
              <w:rPr>
                <w:rFonts w:cs="Arial"/>
                <w:sz w:val="22"/>
                <w:szCs w:val="24"/>
              </w:rPr>
            </w:pPr>
            <w:r w:rsidRPr="001D42B1">
              <w:rPr>
                <w:rFonts w:cs="Arial"/>
                <w:sz w:val="22"/>
                <w:szCs w:val="24"/>
              </w:rPr>
              <w:t>do 25.000,00 HRK  po projektu</w:t>
            </w:r>
          </w:p>
        </w:tc>
      </w:tr>
      <w:tr w:rsidR="004B6B2C" w:rsidTr="001D42B1">
        <w:tc>
          <w:tcPr>
            <w:tcW w:w="3260" w:type="dxa"/>
          </w:tcPr>
          <w:p w:rsidR="004B6B2C" w:rsidRPr="001D42B1" w:rsidRDefault="004B6B2C" w:rsidP="004B6B2C">
            <w:pPr>
              <w:rPr>
                <w:rFonts w:cs="Arial"/>
                <w:sz w:val="22"/>
                <w:szCs w:val="24"/>
              </w:rPr>
            </w:pPr>
            <w:r w:rsidRPr="001D42B1">
              <w:rPr>
                <w:rFonts w:cs="Arial"/>
                <w:sz w:val="22"/>
                <w:szCs w:val="24"/>
              </w:rPr>
              <w:t>Prijavitelj je partner u konzorciju koji je trebao koordinirati jedan ili više radnih paketa</w:t>
            </w:r>
          </w:p>
        </w:tc>
        <w:tc>
          <w:tcPr>
            <w:tcW w:w="2551" w:type="dxa"/>
          </w:tcPr>
          <w:p w:rsidR="004B6B2C" w:rsidRPr="001D42B1" w:rsidRDefault="004B6B2C" w:rsidP="004B6B2C">
            <w:pPr>
              <w:rPr>
                <w:rFonts w:cs="Arial"/>
                <w:sz w:val="22"/>
                <w:szCs w:val="24"/>
              </w:rPr>
            </w:pPr>
            <w:r w:rsidRPr="001D42B1">
              <w:rPr>
                <w:rFonts w:cs="Arial"/>
                <w:sz w:val="22"/>
                <w:szCs w:val="24"/>
              </w:rPr>
              <w:t>85% ili više u odnosu na  maksimalni broj bodova</w:t>
            </w:r>
          </w:p>
        </w:tc>
        <w:tc>
          <w:tcPr>
            <w:tcW w:w="2410" w:type="dxa"/>
          </w:tcPr>
          <w:p w:rsidR="004B6B2C" w:rsidRPr="001D42B1" w:rsidRDefault="004B6B2C" w:rsidP="004B6B2C">
            <w:pPr>
              <w:rPr>
                <w:rFonts w:cs="Arial"/>
                <w:sz w:val="22"/>
                <w:szCs w:val="24"/>
              </w:rPr>
            </w:pPr>
            <w:r w:rsidRPr="001D42B1">
              <w:rPr>
                <w:rFonts w:cs="Arial"/>
                <w:sz w:val="22"/>
                <w:szCs w:val="24"/>
              </w:rPr>
              <w:t>do 25.000,00 HRK  po projektu</w:t>
            </w:r>
          </w:p>
        </w:tc>
      </w:tr>
      <w:tr w:rsidR="004B6B2C" w:rsidTr="001D42B1">
        <w:tc>
          <w:tcPr>
            <w:tcW w:w="3260" w:type="dxa"/>
          </w:tcPr>
          <w:p w:rsidR="004B6B2C" w:rsidRPr="001D42B1" w:rsidRDefault="004B6B2C" w:rsidP="004B6B2C">
            <w:pPr>
              <w:rPr>
                <w:rFonts w:cs="Arial"/>
                <w:sz w:val="22"/>
                <w:szCs w:val="24"/>
              </w:rPr>
            </w:pPr>
            <w:r w:rsidRPr="001D42B1">
              <w:rPr>
                <w:rFonts w:cs="Arial"/>
                <w:sz w:val="22"/>
                <w:szCs w:val="24"/>
              </w:rPr>
              <w:t>Prijavitelj je partner u konzorciju koji je trebao koordinirati jedan ili više radnih paketa</w:t>
            </w:r>
          </w:p>
        </w:tc>
        <w:tc>
          <w:tcPr>
            <w:tcW w:w="2551" w:type="dxa"/>
          </w:tcPr>
          <w:p w:rsidR="004B6B2C" w:rsidRPr="001D42B1" w:rsidRDefault="004B6B2C" w:rsidP="00005CD9">
            <w:pPr>
              <w:rPr>
                <w:rFonts w:cs="Arial"/>
                <w:sz w:val="22"/>
                <w:szCs w:val="24"/>
              </w:rPr>
            </w:pPr>
            <w:r w:rsidRPr="001D42B1">
              <w:rPr>
                <w:rFonts w:cs="Arial"/>
                <w:sz w:val="22"/>
                <w:szCs w:val="24"/>
              </w:rPr>
              <w:t xml:space="preserve">od </w:t>
            </w:r>
            <w:r w:rsidR="00005CD9">
              <w:rPr>
                <w:rFonts w:cs="Arial"/>
                <w:sz w:val="22"/>
                <w:szCs w:val="24"/>
              </w:rPr>
              <w:t>70</w:t>
            </w:r>
            <w:r w:rsidRPr="001D42B1">
              <w:rPr>
                <w:rFonts w:cs="Arial"/>
                <w:sz w:val="22"/>
                <w:szCs w:val="24"/>
              </w:rPr>
              <w:t>% do 84% u odnosu na  maksimalni broj bodova</w:t>
            </w:r>
          </w:p>
        </w:tc>
        <w:tc>
          <w:tcPr>
            <w:tcW w:w="2410" w:type="dxa"/>
          </w:tcPr>
          <w:p w:rsidR="004B6B2C" w:rsidRPr="001D42B1" w:rsidRDefault="004B6B2C" w:rsidP="004B6B2C">
            <w:pPr>
              <w:rPr>
                <w:rFonts w:cs="Arial"/>
                <w:sz w:val="22"/>
                <w:szCs w:val="24"/>
              </w:rPr>
            </w:pPr>
            <w:r w:rsidRPr="001D42B1">
              <w:rPr>
                <w:rFonts w:cs="Arial"/>
                <w:sz w:val="22"/>
                <w:szCs w:val="24"/>
              </w:rPr>
              <w:t>do 20.000,00 HRK  po projektu</w:t>
            </w:r>
            <w:bookmarkStart w:id="0" w:name="_GoBack"/>
            <w:bookmarkEnd w:id="0"/>
          </w:p>
        </w:tc>
      </w:tr>
    </w:tbl>
    <w:p w:rsidR="004B6B2C" w:rsidRDefault="004B6B2C" w:rsidP="004B6B2C">
      <w:pPr>
        <w:spacing w:after="60" w:line="240" w:lineRule="auto"/>
        <w:rPr>
          <w:rFonts w:ascii="Times New Roman" w:hAnsi="Times New Roman" w:cs="Times New Roman"/>
        </w:rPr>
      </w:pPr>
    </w:p>
    <w:p w:rsidR="001D42B1" w:rsidRDefault="001D42B1" w:rsidP="001D42B1">
      <w:pPr>
        <w:spacing w:after="0" w:line="240" w:lineRule="auto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Prihvatljivi načini korištenja podrške u okviru ove mjere (</w:t>
      </w:r>
      <w:r w:rsidRPr="001D42B1">
        <w:rPr>
          <w:rFonts w:ascii="Times New Roman" w:hAnsi="Times New Roman" w:cs="Times New Roman"/>
        </w:rPr>
        <w:t>u skladu s preporukama o načinu trošenja sredstava dodijeljenih putem modela višegodišnjeg institucionalnog financiranja znanstvene djelatnosti</w:t>
      </w:r>
      <w:r>
        <w:rPr>
          <w:rFonts w:ascii="Times New Roman" w:hAnsi="Times New Roman" w:cs="Times New Roman"/>
        </w:rPr>
        <w:t>):</w:t>
      </w:r>
    </w:p>
    <w:p w:rsidR="001D42B1" w:rsidRDefault="001D42B1" w:rsidP="001D42B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troškovi koji direktno doprinose unapređenju postojeće ili izradi nove projektne prijave na Obzor 2020. (uključujući aktivnosti pod točkama 1.-6.)</w:t>
      </w:r>
    </w:p>
    <w:p w:rsidR="001D42B1" w:rsidRDefault="001D42B1" w:rsidP="001D42B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specifični troškovi istraživačkog rada (laboratorijski potrošni materijal, troškovi provođenja eksperimenata, terenskog istraživačkog rada…)</w:t>
      </w:r>
    </w:p>
    <w:p w:rsidR="001D42B1" w:rsidRDefault="001D42B1" w:rsidP="001D42B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nabavke sitne i srednje znanstvene opreme</w:t>
      </w:r>
    </w:p>
    <w:p w:rsidR="001D42B1" w:rsidRDefault="001D42B1" w:rsidP="001D42B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diseminacija istraživačkih rezultata</w:t>
      </w:r>
    </w:p>
    <w:p w:rsidR="001D42B1" w:rsidRDefault="001D42B1" w:rsidP="001D42B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nabavke knjiga i časopisa te pretplate na stručne i znanstvene on-</w:t>
      </w:r>
      <w:proofErr w:type="spellStart"/>
      <w:r>
        <w:rPr>
          <w:rFonts w:ascii="Times New Roman" w:hAnsi="Times New Roman" w:cs="Times New Roman"/>
        </w:rPr>
        <w:t>line</w:t>
      </w:r>
      <w:proofErr w:type="spellEnd"/>
      <w:r>
        <w:rPr>
          <w:rFonts w:ascii="Times New Roman" w:hAnsi="Times New Roman" w:cs="Times New Roman"/>
        </w:rPr>
        <w:t xml:space="preserve"> baze podataka</w:t>
      </w:r>
    </w:p>
    <w:p w:rsidR="0020561B" w:rsidRDefault="0020561B" w:rsidP="0020561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0561B">
        <w:rPr>
          <w:rFonts w:ascii="Times New Roman" w:hAnsi="Times New Roman" w:cs="Times New Roman"/>
        </w:rPr>
        <w:t>ulaganje u transfer znanja i</w:t>
      </w:r>
      <w:r>
        <w:rPr>
          <w:rFonts w:ascii="Times New Roman" w:hAnsi="Times New Roman" w:cs="Times New Roman"/>
        </w:rPr>
        <w:t xml:space="preserve"> </w:t>
      </w:r>
      <w:r w:rsidRPr="0020561B">
        <w:rPr>
          <w:rFonts w:ascii="Times New Roman" w:hAnsi="Times New Roman" w:cs="Times New Roman"/>
        </w:rPr>
        <w:t>tehnologije i podr</w:t>
      </w:r>
      <w:r>
        <w:rPr>
          <w:rFonts w:ascii="Times New Roman" w:hAnsi="Times New Roman" w:cs="Times New Roman"/>
        </w:rPr>
        <w:t>š</w:t>
      </w:r>
      <w:r w:rsidRPr="0020561B">
        <w:rPr>
          <w:rFonts w:ascii="Times New Roman" w:hAnsi="Times New Roman" w:cs="Times New Roman"/>
        </w:rPr>
        <w:t>ku uredima</w:t>
      </w:r>
      <w:r>
        <w:rPr>
          <w:rFonts w:ascii="Times New Roman" w:hAnsi="Times New Roman" w:cs="Times New Roman"/>
        </w:rPr>
        <w:t xml:space="preserve"> za transfer tehnologije</w:t>
      </w:r>
    </w:p>
    <w:p w:rsidR="0020561B" w:rsidRPr="0020561B" w:rsidRDefault="0020561B" w:rsidP="0020561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0561B">
        <w:rPr>
          <w:rFonts w:ascii="Times New Roman" w:hAnsi="Times New Roman" w:cs="Times New Roman"/>
        </w:rPr>
        <w:t xml:space="preserve">aktivnosti vezane uz </w:t>
      </w:r>
      <w:r>
        <w:rPr>
          <w:rFonts w:ascii="Times New Roman" w:hAnsi="Times New Roman" w:cs="Times New Roman"/>
        </w:rPr>
        <w:t>zaštitu intelektualnog vlasništva</w:t>
      </w:r>
    </w:p>
    <w:p w:rsidR="001D42B1" w:rsidRDefault="001D42B1" w:rsidP="001D42B1">
      <w:pPr>
        <w:pStyle w:val="ListParagraph"/>
        <w:numPr>
          <w:ilvl w:val="0"/>
          <w:numId w:val="17"/>
        </w:numPr>
        <w:spacing w:after="60" w:line="240" w:lineRule="auto"/>
        <w:ind w:left="1173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mobilnosti istraživača (na nacionalnoj i internacionalnoj razini)</w:t>
      </w:r>
      <w:r w:rsidR="007F5551">
        <w:rPr>
          <w:rFonts w:ascii="Times New Roman" w:hAnsi="Times New Roman" w:cs="Times New Roman"/>
        </w:rPr>
        <w:t>.</w:t>
      </w:r>
    </w:p>
    <w:p w:rsidR="001D42B1" w:rsidRPr="001D42B1" w:rsidRDefault="001D42B1" w:rsidP="007F5551">
      <w:pPr>
        <w:spacing w:after="120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Neprihvatljivi načini korištenja podrške se odnose na rashode za zaposlene i troškove tzv. hladnog pogona.</w:t>
      </w:r>
    </w:p>
    <w:p w:rsidR="004B6B2C" w:rsidRDefault="004B6B2C" w:rsidP="007F5551">
      <w:pPr>
        <w:spacing w:after="60"/>
        <w:ind w:left="340"/>
        <w:rPr>
          <w:rFonts w:ascii="Times New Roman" w:eastAsia="Times New Roman" w:hAnsi="Times New Roman" w:cs="Arial"/>
          <w:szCs w:val="24"/>
          <w:u w:val="single"/>
          <w:lang w:eastAsia="hr-HR"/>
        </w:rPr>
      </w:pPr>
      <w:r w:rsidRPr="004B6B2C">
        <w:rPr>
          <w:rFonts w:ascii="Times New Roman" w:hAnsi="Times New Roman" w:cs="Times New Roman"/>
          <w:u w:val="single"/>
        </w:rPr>
        <w:t>I</w:t>
      </w:r>
      <w:r w:rsidRPr="004B6B2C">
        <w:rPr>
          <w:rFonts w:ascii="Times New Roman" w:eastAsia="Times New Roman" w:hAnsi="Times New Roman" w:cs="Arial"/>
          <w:szCs w:val="24"/>
          <w:u w:val="single"/>
          <w:lang w:eastAsia="hr-HR"/>
        </w:rPr>
        <w:t>zvještavanje</w:t>
      </w:r>
      <w:r>
        <w:rPr>
          <w:rFonts w:ascii="Times New Roman" w:eastAsia="Times New Roman" w:hAnsi="Times New Roman" w:cs="Arial"/>
          <w:szCs w:val="24"/>
          <w:u w:val="single"/>
          <w:lang w:eastAsia="hr-HR"/>
        </w:rPr>
        <w:t>:</w:t>
      </w:r>
    </w:p>
    <w:p w:rsidR="004B6B2C" w:rsidRPr="004B6B2C" w:rsidRDefault="004B6B2C" w:rsidP="001D42B1">
      <w:pPr>
        <w:pStyle w:val="ListParagraph"/>
        <w:numPr>
          <w:ilvl w:val="0"/>
          <w:numId w:val="14"/>
        </w:numPr>
        <w:spacing w:after="0" w:line="240" w:lineRule="auto"/>
        <w:ind w:left="1054" w:hanging="357"/>
        <w:contextualSpacing w:val="0"/>
        <w:rPr>
          <w:rFonts w:ascii="Times New Roman" w:hAnsi="Times New Roman" w:cs="Times New Roman"/>
        </w:rPr>
      </w:pPr>
      <w:r w:rsidRPr="004B6B2C">
        <w:rPr>
          <w:rFonts w:ascii="Times New Roman" w:hAnsi="Times New Roman" w:cs="Times New Roman"/>
        </w:rPr>
        <w:t>do kraja proračunske godine u kojoj je ostvar</w:t>
      </w:r>
      <w:r>
        <w:rPr>
          <w:rFonts w:ascii="Times New Roman" w:hAnsi="Times New Roman" w:cs="Times New Roman"/>
        </w:rPr>
        <w:t>ena</w:t>
      </w:r>
      <w:r w:rsidRPr="004B6B2C">
        <w:rPr>
          <w:rFonts w:ascii="Times New Roman" w:hAnsi="Times New Roman" w:cs="Times New Roman"/>
        </w:rPr>
        <w:t xml:space="preserve"> podršk</w:t>
      </w:r>
      <w:r>
        <w:rPr>
          <w:rFonts w:ascii="Times New Roman" w:hAnsi="Times New Roman" w:cs="Times New Roman"/>
        </w:rPr>
        <w:t>a</w:t>
      </w:r>
      <w:r w:rsidRPr="004B6B2C">
        <w:rPr>
          <w:rFonts w:ascii="Times New Roman" w:hAnsi="Times New Roman" w:cs="Times New Roman"/>
        </w:rPr>
        <w:t>, na propisanom obrascu</w:t>
      </w:r>
      <w:r w:rsidR="00F52B6A">
        <w:rPr>
          <w:rFonts w:ascii="Times New Roman" w:hAnsi="Times New Roman" w:cs="Times New Roman"/>
        </w:rPr>
        <w:t xml:space="preserve"> (Obrazac će biti naknadno dostupan na</w:t>
      </w:r>
      <w:r w:rsidR="001D42B1">
        <w:rPr>
          <w:rFonts w:ascii="Times New Roman" w:hAnsi="Times New Roman" w:cs="Times New Roman"/>
        </w:rPr>
        <w:t xml:space="preserve"> mrežnim</w:t>
      </w:r>
      <w:r w:rsidR="00F52B6A">
        <w:rPr>
          <w:rFonts w:ascii="Times New Roman" w:hAnsi="Times New Roman" w:cs="Times New Roman"/>
        </w:rPr>
        <w:t xml:space="preserve"> stranic</w:t>
      </w:r>
      <w:r w:rsidR="001D42B1">
        <w:rPr>
          <w:rFonts w:ascii="Times New Roman" w:hAnsi="Times New Roman" w:cs="Times New Roman"/>
        </w:rPr>
        <w:t xml:space="preserve">ama </w:t>
      </w:r>
      <w:r w:rsidR="00F52B6A">
        <w:rPr>
          <w:rFonts w:ascii="Times New Roman" w:hAnsi="Times New Roman" w:cs="Times New Roman"/>
        </w:rPr>
        <w:t>Ministarstva)</w:t>
      </w:r>
      <w:r w:rsidR="001D42B1">
        <w:rPr>
          <w:rFonts w:ascii="Times New Roman" w:hAnsi="Times New Roman" w:cs="Times New Roman"/>
        </w:rPr>
        <w:t>.</w:t>
      </w:r>
    </w:p>
    <w:p w:rsidR="001D42B1" w:rsidRDefault="001D42B1" w:rsidP="004B6B2C">
      <w:pPr>
        <w:spacing w:after="60" w:line="240" w:lineRule="auto"/>
        <w:jc w:val="both"/>
        <w:rPr>
          <w:rFonts w:ascii="Times New Roman" w:hAnsi="Times New Roman" w:cs="Times New Roman"/>
        </w:rPr>
      </w:pPr>
    </w:p>
    <w:p w:rsidR="004B6B2C" w:rsidRDefault="004B6B2C" w:rsidP="004B6B2C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4B6B2C">
        <w:rPr>
          <w:rFonts w:ascii="Times New Roman" w:hAnsi="Times New Roman" w:cs="Times New Roman"/>
          <w:b/>
        </w:rPr>
        <w:t>Opća pravila</w:t>
      </w:r>
      <w:r>
        <w:rPr>
          <w:rFonts w:ascii="Times New Roman" w:hAnsi="Times New Roman" w:cs="Times New Roman"/>
        </w:rPr>
        <w:t xml:space="preserve"> za sve </w:t>
      </w:r>
      <w:r w:rsidR="001D42B1">
        <w:rPr>
          <w:rFonts w:ascii="Times New Roman" w:hAnsi="Times New Roman" w:cs="Times New Roman"/>
        </w:rPr>
        <w:t>aktivnosti</w:t>
      </w:r>
      <w:r>
        <w:rPr>
          <w:rFonts w:ascii="Times New Roman" w:hAnsi="Times New Roman" w:cs="Times New Roman"/>
        </w:rPr>
        <w:t xml:space="preserve"> obuhvaćene Odlukom</w:t>
      </w:r>
      <w:r w:rsidRPr="004B6B2C">
        <w:rPr>
          <w:rFonts w:ascii="Times New Roman" w:hAnsi="Times New Roman" w:cs="Times New Roman"/>
        </w:rPr>
        <w:t xml:space="preserve"> o poticanju prijave na međunarodne kompetitivne projekte u okviru Okvirnog programa za istraživanja i inovacije Obzor 2020.</w:t>
      </w:r>
      <w:r>
        <w:rPr>
          <w:rFonts w:ascii="Times New Roman" w:hAnsi="Times New Roman" w:cs="Times New Roman"/>
        </w:rPr>
        <w:t>:</w:t>
      </w:r>
    </w:p>
    <w:p w:rsidR="001D42B1" w:rsidRDefault="001D42B1" w:rsidP="00202018">
      <w:pPr>
        <w:pStyle w:val="ListParagraph"/>
        <w:numPr>
          <w:ilvl w:val="1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D42B1">
        <w:rPr>
          <w:rFonts w:ascii="Times New Roman" w:hAnsi="Times New Roman" w:cs="Times New Roman"/>
          <w:b/>
        </w:rPr>
        <w:t>Prijavitelji</w:t>
      </w:r>
      <w:r>
        <w:rPr>
          <w:rFonts w:ascii="Times New Roman" w:hAnsi="Times New Roman" w:cs="Times New Roman"/>
        </w:rPr>
        <w:t xml:space="preserve"> u okviru ove mjere mogu biti:</w:t>
      </w:r>
    </w:p>
    <w:p w:rsidR="00544C9E" w:rsidRDefault="00202018" w:rsidP="00544C9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znanstvenici upisani </w:t>
      </w:r>
      <w:r w:rsidRPr="00202018">
        <w:rPr>
          <w:rFonts w:ascii="Times New Roman" w:hAnsi="Times New Roman" w:cs="Times New Roman"/>
        </w:rPr>
        <w:t xml:space="preserve">u Upisnik znanstvenika koji se vodi pri </w:t>
      </w:r>
      <w:r w:rsidR="001D42B1">
        <w:rPr>
          <w:rFonts w:ascii="Times New Roman" w:hAnsi="Times New Roman" w:cs="Times New Roman"/>
        </w:rPr>
        <w:t>Ministarstvu znanosti i obrazovanja</w:t>
      </w:r>
      <w:r w:rsidRPr="00202018">
        <w:rPr>
          <w:rFonts w:ascii="Times New Roman" w:hAnsi="Times New Roman" w:cs="Times New Roman"/>
        </w:rPr>
        <w:t xml:space="preserve"> </w:t>
      </w:r>
    </w:p>
    <w:p w:rsidR="001D42B1" w:rsidRPr="00544C9E" w:rsidRDefault="00202018" w:rsidP="00544C9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4C9E">
        <w:rPr>
          <w:rFonts w:ascii="Times New Roman" w:hAnsi="Times New Roman" w:cs="Times New Roman"/>
        </w:rPr>
        <w:t>mikro, mali i srednj</w:t>
      </w:r>
      <w:r w:rsidR="001D42B1" w:rsidRPr="00544C9E">
        <w:rPr>
          <w:rFonts w:ascii="Times New Roman" w:hAnsi="Times New Roman" w:cs="Times New Roman"/>
        </w:rPr>
        <w:t>i poduzetnici.</w:t>
      </w:r>
    </w:p>
    <w:p w:rsidR="004B6B2C" w:rsidRPr="001D42B1" w:rsidRDefault="004B6B2C" w:rsidP="001D42B1">
      <w:pPr>
        <w:pStyle w:val="ListParagraph"/>
        <w:numPr>
          <w:ilvl w:val="1"/>
          <w:numId w:val="4"/>
        </w:numPr>
        <w:spacing w:after="60" w:line="240" w:lineRule="auto"/>
        <w:ind w:left="453" w:hanging="357"/>
        <w:contextualSpacing w:val="0"/>
        <w:jc w:val="both"/>
        <w:rPr>
          <w:rFonts w:ascii="Times New Roman" w:hAnsi="Times New Roman" w:cs="Times New Roman"/>
        </w:rPr>
      </w:pPr>
      <w:r w:rsidRPr="001D42B1">
        <w:rPr>
          <w:rFonts w:ascii="Times New Roman" w:hAnsi="Times New Roman" w:cs="Times New Roman"/>
        </w:rPr>
        <w:t xml:space="preserve">Poziv za prijave temeljem ove Odluke otvoren je </w:t>
      </w:r>
      <w:r w:rsidRPr="001D42B1">
        <w:rPr>
          <w:rFonts w:ascii="Times New Roman" w:hAnsi="Times New Roman" w:cs="Times New Roman"/>
          <w:b/>
        </w:rPr>
        <w:t>kontinuirano</w:t>
      </w:r>
      <w:r w:rsidRPr="001D42B1">
        <w:rPr>
          <w:rFonts w:ascii="Times New Roman" w:hAnsi="Times New Roman" w:cs="Times New Roman"/>
        </w:rPr>
        <w:t xml:space="preserve"> tijekom cijele proračunske godine od objave poziva</w:t>
      </w:r>
      <w:r w:rsidR="001D42B1" w:rsidRPr="001D42B1">
        <w:rPr>
          <w:rFonts w:ascii="Times New Roman" w:hAnsi="Times New Roman" w:cs="Times New Roman"/>
        </w:rPr>
        <w:t>,</w:t>
      </w:r>
      <w:r w:rsidRPr="001D42B1">
        <w:rPr>
          <w:rFonts w:ascii="Times New Roman" w:hAnsi="Times New Roman" w:cs="Times New Roman"/>
        </w:rPr>
        <w:t xml:space="preserve"> </w:t>
      </w:r>
      <w:r w:rsidRPr="001D42B1">
        <w:rPr>
          <w:rFonts w:ascii="Times New Roman" w:hAnsi="Times New Roman" w:cs="Times New Roman"/>
          <w:b/>
        </w:rPr>
        <w:t>do iskorištenja sredstava</w:t>
      </w:r>
      <w:r w:rsidRPr="001D42B1">
        <w:rPr>
          <w:rFonts w:ascii="Times New Roman" w:hAnsi="Times New Roman" w:cs="Times New Roman"/>
        </w:rPr>
        <w:t xml:space="preserve"> osiguranih </w:t>
      </w:r>
      <w:r w:rsidR="001D42B1" w:rsidRPr="001D42B1">
        <w:rPr>
          <w:rFonts w:ascii="Times New Roman" w:hAnsi="Times New Roman" w:cs="Times New Roman"/>
        </w:rPr>
        <w:t xml:space="preserve">u Državnom proračunu </w:t>
      </w:r>
      <w:r w:rsidRPr="001D42B1">
        <w:rPr>
          <w:rFonts w:ascii="Times New Roman" w:hAnsi="Times New Roman" w:cs="Times New Roman"/>
        </w:rPr>
        <w:t xml:space="preserve">za provedbu </w:t>
      </w:r>
      <w:r w:rsidR="001D42B1" w:rsidRPr="001D42B1">
        <w:rPr>
          <w:rFonts w:ascii="Times New Roman" w:hAnsi="Times New Roman" w:cs="Times New Roman"/>
        </w:rPr>
        <w:t>aktivnosti iz Odluke</w:t>
      </w:r>
      <w:r w:rsidRPr="001D42B1">
        <w:rPr>
          <w:rFonts w:ascii="Times New Roman" w:hAnsi="Times New Roman" w:cs="Times New Roman"/>
        </w:rPr>
        <w:t>.</w:t>
      </w:r>
    </w:p>
    <w:p w:rsidR="004B6B2C" w:rsidRDefault="004B6B2C" w:rsidP="001D42B1">
      <w:pPr>
        <w:pStyle w:val="ListParagraph"/>
        <w:numPr>
          <w:ilvl w:val="1"/>
          <w:numId w:val="4"/>
        </w:numPr>
        <w:spacing w:after="60" w:line="240" w:lineRule="auto"/>
        <w:ind w:left="453" w:hanging="357"/>
        <w:contextualSpacing w:val="0"/>
        <w:jc w:val="both"/>
        <w:rPr>
          <w:rFonts w:ascii="Times New Roman" w:hAnsi="Times New Roman" w:cs="Times New Roman"/>
        </w:rPr>
      </w:pPr>
      <w:r w:rsidRPr="004B6B2C">
        <w:rPr>
          <w:rFonts w:ascii="Times New Roman" w:hAnsi="Times New Roman" w:cs="Times New Roman"/>
        </w:rPr>
        <w:t>Neisplaćene obveze temeljem prijave podnijete u jednoj proračunskoj godini ne prenose se u drugu proračunsku godinu.</w:t>
      </w:r>
    </w:p>
    <w:p w:rsidR="004B6B2C" w:rsidRPr="004B6B2C" w:rsidRDefault="004B6B2C" w:rsidP="001D42B1">
      <w:pPr>
        <w:pStyle w:val="ListParagraph"/>
        <w:numPr>
          <w:ilvl w:val="1"/>
          <w:numId w:val="4"/>
        </w:numPr>
        <w:spacing w:after="60" w:line="240" w:lineRule="auto"/>
        <w:ind w:left="453" w:hanging="357"/>
        <w:contextualSpacing w:val="0"/>
        <w:jc w:val="both"/>
        <w:rPr>
          <w:rFonts w:ascii="Times New Roman" w:hAnsi="Times New Roman" w:cs="Times New Roman"/>
        </w:rPr>
      </w:pPr>
      <w:r w:rsidRPr="001D42B1">
        <w:rPr>
          <w:rFonts w:ascii="Times New Roman" w:hAnsi="Times New Roman" w:cs="Times New Roman"/>
          <w:b/>
        </w:rPr>
        <w:t>Odluku o dodjeli sredstava</w:t>
      </w:r>
      <w:r w:rsidRPr="004B6B2C">
        <w:rPr>
          <w:rFonts w:ascii="Times New Roman" w:hAnsi="Times New Roman" w:cs="Times New Roman"/>
        </w:rPr>
        <w:t xml:space="preserve"> pojedinom korisniku donosi, po ovlasti ministrice znanosti i obrazovanja, državni tajnik nadležan za znanost</w:t>
      </w:r>
      <w:r w:rsidR="001D42B1">
        <w:rPr>
          <w:rFonts w:ascii="Times New Roman" w:hAnsi="Times New Roman" w:cs="Times New Roman"/>
        </w:rPr>
        <w:t>, a temeljem prijedloga Strateškog odbora za istraživačku infrastrukturu.</w:t>
      </w:r>
    </w:p>
    <w:p w:rsidR="001D42B1" w:rsidRDefault="004B6B2C" w:rsidP="001D42B1">
      <w:pPr>
        <w:pStyle w:val="ListParagraph"/>
        <w:numPr>
          <w:ilvl w:val="1"/>
          <w:numId w:val="4"/>
        </w:numPr>
        <w:spacing w:after="0" w:line="240" w:lineRule="auto"/>
        <w:ind w:lef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članku 11. Odluke, k</w:t>
      </w:r>
      <w:r w:rsidRPr="004B6B2C">
        <w:rPr>
          <w:rFonts w:ascii="Times New Roman" w:hAnsi="Times New Roman" w:cs="Times New Roman"/>
        </w:rPr>
        <w:t>orisni</w:t>
      </w:r>
      <w:r>
        <w:rPr>
          <w:rFonts w:ascii="Times New Roman" w:hAnsi="Times New Roman" w:cs="Times New Roman"/>
        </w:rPr>
        <w:t xml:space="preserve">ci </w:t>
      </w:r>
      <w:r w:rsidRPr="004B6B2C">
        <w:rPr>
          <w:rFonts w:ascii="Times New Roman" w:hAnsi="Times New Roman" w:cs="Times New Roman"/>
        </w:rPr>
        <w:t>koji nakon dobivene financijske podrške Ministarstvu u zadanom roku ne dostav</w:t>
      </w:r>
      <w:r>
        <w:rPr>
          <w:rFonts w:ascii="Times New Roman" w:hAnsi="Times New Roman" w:cs="Times New Roman"/>
        </w:rPr>
        <w:t>e</w:t>
      </w:r>
      <w:r w:rsidRPr="004B6B2C">
        <w:rPr>
          <w:rFonts w:ascii="Times New Roman" w:hAnsi="Times New Roman" w:cs="Times New Roman"/>
        </w:rPr>
        <w:t xml:space="preserve"> svu potrebnu dokumentaciju ili nenamjenski utroš</w:t>
      </w:r>
      <w:r>
        <w:rPr>
          <w:rFonts w:ascii="Times New Roman" w:hAnsi="Times New Roman" w:cs="Times New Roman"/>
        </w:rPr>
        <w:t>e</w:t>
      </w:r>
      <w:r w:rsidRPr="004B6B2C">
        <w:rPr>
          <w:rFonts w:ascii="Times New Roman" w:hAnsi="Times New Roman" w:cs="Times New Roman"/>
        </w:rPr>
        <w:t xml:space="preserve"> dobivena financijska sredstva, obvez</w:t>
      </w:r>
      <w:r>
        <w:rPr>
          <w:rFonts w:ascii="Times New Roman" w:hAnsi="Times New Roman" w:cs="Times New Roman"/>
        </w:rPr>
        <w:t xml:space="preserve">ni su </w:t>
      </w:r>
      <w:r w:rsidRPr="004B6B2C">
        <w:rPr>
          <w:rFonts w:ascii="Times New Roman" w:hAnsi="Times New Roman" w:cs="Times New Roman"/>
        </w:rPr>
        <w:t>izvršiti povrat dobivenih financijskih sredstava u Državni proračun R</w:t>
      </w:r>
      <w:r w:rsidR="001D42B1">
        <w:rPr>
          <w:rFonts w:ascii="Times New Roman" w:hAnsi="Times New Roman" w:cs="Times New Roman"/>
        </w:rPr>
        <w:t xml:space="preserve">H </w:t>
      </w:r>
      <w:r w:rsidRPr="004B6B2C">
        <w:rPr>
          <w:rFonts w:ascii="Times New Roman" w:hAnsi="Times New Roman" w:cs="Times New Roman"/>
        </w:rPr>
        <w:t>do kraja proračunske godine u kojoj je ostvar</w:t>
      </w:r>
      <w:r>
        <w:rPr>
          <w:rFonts w:ascii="Times New Roman" w:hAnsi="Times New Roman" w:cs="Times New Roman"/>
        </w:rPr>
        <w:t>ena</w:t>
      </w:r>
      <w:r w:rsidRPr="004B6B2C">
        <w:rPr>
          <w:rFonts w:ascii="Times New Roman" w:hAnsi="Times New Roman" w:cs="Times New Roman"/>
        </w:rPr>
        <w:t xml:space="preserve"> podršk</w:t>
      </w:r>
      <w:r>
        <w:rPr>
          <w:rFonts w:ascii="Times New Roman" w:hAnsi="Times New Roman" w:cs="Times New Roman"/>
        </w:rPr>
        <w:t>a.</w:t>
      </w:r>
    </w:p>
    <w:p w:rsidR="001D42B1" w:rsidRDefault="001D42B1" w:rsidP="001D42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D42B1" w:rsidRPr="001D42B1" w:rsidRDefault="001D42B1" w:rsidP="001D42B1">
      <w:pPr>
        <w:spacing w:after="0" w:line="240" w:lineRule="auto"/>
        <w:ind w:left="94"/>
        <w:jc w:val="both"/>
        <w:rPr>
          <w:rFonts w:ascii="Times New Roman" w:hAnsi="Times New Roman" w:cs="Times New Roman"/>
        </w:rPr>
      </w:pPr>
    </w:p>
    <w:p w:rsidR="00202018" w:rsidRPr="008F590A" w:rsidRDefault="00202018" w:rsidP="001D42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02018" w:rsidRPr="004B6B2C" w:rsidRDefault="00202018" w:rsidP="004B6B2C">
      <w:pPr>
        <w:spacing w:after="0" w:line="240" w:lineRule="auto"/>
        <w:ind w:left="454"/>
        <w:jc w:val="both"/>
        <w:rPr>
          <w:rFonts w:ascii="Times New Roman" w:hAnsi="Times New Roman" w:cs="Times New Roman"/>
        </w:rPr>
      </w:pPr>
    </w:p>
    <w:sectPr w:rsidR="00202018" w:rsidRPr="004B6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277"/>
    <w:multiLevelType w:val="hybridMultilevel"/>
    <w:tmpl w:val="942CF6F8"/>
    <w:lvl w:ilvl="0" w:tplc="1CBA71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54113"/>
    <w:multiLevelType w:val="hybridMultilevel"/>
    <w:tmpl w:val="700ACBC8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FC11F83"/>
    <w:multiLevelType w:val="hybridMultilevel"/>
    <w:tmpl w:val="6F381FFE"/>
    <w:lvl w:ilvl="0" w:tplc="041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17D908CD"/>
    <w:multiLevelType w:val="hybridMultilevel"/>
    <w:tmpl w:val="A2D8BDAE"/>
    <w:lvl w:ilvl="0" w:tplc="041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19DD5918"/>
    <w:multiLevelType w:val="hybridMultilevel"/>
    <w:tmpl w:val="4A701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95683"/>
    <w:multiLevelType w:val="hybridMultilevel"/>
    <w:tmpl w:val="4A701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75D5A"/>
    <w:multiLevelType w:val="hybridMultilevel"/>
    <w:tmpl w:val="88909388"/>
    <w:lvl w:ilvl="0" w:tplc="3148EB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637204A"/>
    <w:multiLevelType w:val="hybridMultilevel"/>
    <w:tmpl w:val="BF3E249C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44AB090D"/>
    <w:multiLevelType w:val="hybridMultilevel"/>
    <w:tmpl w:val="72242B3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132980"/>
    <w:multiLevelType w:val="hybridMultilevel"/>
    <w:tmpl w:val="2B54C0F6"/>
    <w:lvl w:ilvl="0" w:tplc="00062D52">
      <w:start w:val="4"/>
      <w:numFmt w:val="bullet"/>
      <w:lvlText w:val="-"/>
      <w:lvlJc w:val="left"/>
      <w:pPr>
        <w:ind w:left="7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4DD1221B"/>
    <w:multiLevelType w:val="hybridMultilevel"/>
    <w:tmpl w:val="8256AC9C"/>
    <w:lvl w:ilvl="0" w:tplc="041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0A05B12"/>
    <w:multiLevelType w:val="hybridMultilevel"/>
    <w:tmpl w:val="D58E44CE"/>
    <w:lvl w:ilvl="0" w:tplc="041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>
    <w:nsid w:val="653166DD"/>
    <w:multiLevelType w:val="hybridMultilevel"/>
    <w:tmpl w:val="D4B26A2C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6894373E"/>
    <w:multiLevelType w:val="hybridMultilevel"/>
    <w:tmpl w:val="066222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CF2948"/>
    <w:multiLevelType w:val="hybridMultilevel"/>
    <w:tmpl w:val="F6D87D2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08D10FD"/>
    <w:multiLevelType w:val="hybridMultilevel"/>
    <w:tmpl w:val="C9DEF130"/>
    <w:lvl w:ilvl="0" w:tplc="041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75A80C55"/>
    <w:multiLevelType w:val="hybridMultilevel"/>
    <w:tmpl w:val="B2E2065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1"/>
  </w:num>
  <w:num w:numId="5">
    <w:abstractNumId w:val="16"/>
  </w:num>
  <w:num w:numId="6">
    <w:abstractNumId w:val="13"/>
  </w:num>
  <w:num w:numId="7">
    <w:abstractNumId w:val="2"/>
  </w:num>
  <w:num w:numId="8">
    <w:abstractNumId w:val="14"/>
  </w:num>
  <w:num w:numId="9">
    <w:abstractNumId w:val="3"/>
  </w:num>
  <w:num w:numId="10">
    <w:abstractNumId w:val="9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4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3F"/>
    <w:rsid w:val="00005CD9"/>
    <w:rsid w:val="001D42B1"/>
    <w:rsid w:val="001D7963"/>
    <w:rsid w:val="001F02E7"/>
    <w:rsid w:val="00202018"/>
    <w:rsid w:val="0020561B"/>
    <w:rsid w:val="002E15E0"/>
    <w:rsid w:val="0035385D"/>
    <w:rsid w:val="0042505C"/>
    <w:rsid w:val="00447156"/>
    <w:rsid w:val="004B6B2C"/>
    <w:rsid w:val="00544C9E"/>
    <w:rsid w:val="00571B93"/>
    <w:rsid w:val="007F5551"/>
    <w:rsid w:val="00832F3A"/>
    <w:rsid w:val="008A6E3F"/>
    <w:rsid w:val="008F590A"/>
    <w:rsid w:val="00B17FEE"/>
    <w:rsid w:val="00C26BE5"/>
    <w:rsid w:val="00E26EBB"/>
    <w:rsid w:val="00E8105E"/>
    <w:rsid w:val="00F5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B2C"/>
    <w:pPr>
      <w:ind w:left="720"/>
      <w:contextualSpacing/>
    </w:pPr>
  </w:style>
  <w:style w:type="table" w:styleId="TableGrid">
    <w:name w:val="Table Grid"/>
    <w:basedOn w:val="TableNormal"/>
    <w:rsid w:val="004B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2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B2C"/>
    <w:pPr>
      <w:ind w:left="720"/>
      <w:contextualSpacing/>
    </w:pPr>
  </w:style>
  <w:style w:type="table" w:styleId="TableGrid">
    <w:name w:val="Table Grid"/>
    <w:basedOn w:val="TableNormal"/>
    <w:rsid w:val="004B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2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2020_mjere_2018@mz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2020_mjere_2018@mzo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mkuhar</dc:creator>
  <cp:lastModifiedBy>zskocili</cp:lastModifiedBy>
  <cp:revision>2</cp:revision>
  <cp:lastPrinted>2018-03-01T09:58:00Z</cp:lastPrinted>
  <dcterms:created xsi:type="dcterms:W3CDTF">2018-03-05T12:40:00Z</dcterms:created>
  <dcterms:modified xsi:type="dcterms:W3CDTF">2018-03-05T12:40:00Z</dcterms:modified>
</cp:coreProperties>
</file>