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AD" w:rsidRDefault="00230BAD" w:rsidP="003A3A47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6699"/>
          <w:sz w:val="28"/>
          <w:szCs w:val="28"/>
        </w:rPr>
      </w:pPr>
      <w:bookmarkStart w:id="0" w:name="_GoBack"/>
      <w:bookmarkEnd w:id="0"/>
      <w:r w:rsidRPr="008C1403">
        <w:rPr>
          <w:rFonts w:asciiTheme="minorHAnsi" w:hAnsiTheme="minorHAnsi"/>
          <w:b/>
          <w:bCs/>
          <w:caps/>
          <w:noProof/>
          <w:color w:val="006699"/>
          <w:sz w:val="28"/>
          <w:szCs w:val="28"/>
          <w:lang w:val="hr-HR" w:eastAsia="hr-HR"/>
        </w:rPr>
        <w:drawing>
          <wp:inline distT="0" distB="0" distL="0" distR="0" wp14:anchorId="31BC190D" wp14:editId="1819E7DC">
            <wp:extent cx="2021359" cy="603849"/>
            <wp:effectExtent l="0" t="0" r="0" b="6350"/>
            <wp:docPr id="2050" name="Picture 2" descr="C:\Users\Danijel\Pictures\Logotipi in sheme\UM\UM.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anijel\Pictures\Logotipi in sheme\UM\UM.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07" cy="6064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0BAD" w:rsidRDefault="00230BAD" w:rsidP="003A3A47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6699"/>
          <w:sz w:val="28"/>
          <w:szCs w:val="28"/>
        </w:rPr>
      </w:pPr>
    </w:p>
    <w:p w:rsidR="00871E2A" w:rsidRPr="003A3A47" w:rsidRDefault="00031560" w:rsidP="003A3A47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6082"/>
          <w:sz w:val="28"/>
          <w:szCs w:val="28"/>
        </w:rPr>
      </w:pPr>
      <w:r>
        <w:rPr>
          <w:rFonts w:asciiTheme="minorHAnsi" w:hAnsiTheme="minorHAnsi"/>
          <w:b/>
          <w:bCs/>
          <w:caps/>
          <w:color w:val="006082"/>
          <w:sz w:val="28"/>
          <w:szCs w:val="28"/>
        </w:rPr>
        <w:t>2</w:t>
      </w:r>
      <w:r w:rsidRPr="00031560">
        <w:rPr>
          <w:rFonts w:asciiTheme="minorHAnsi" w:hAnsiTheme="minorHAnsi"/>
          <w:b/>
          <w:bCs/>
          <w:caps/>
          <w:color w:val="006082"/>
          <w:sz w:val="28"/>
          <w:szCs w:val="28"/>
          <w:vertAlign w:val="superscript"/>
        </w:rPr>
        <w:t>nd</w:t>
      </w:r>
      <w:r>
        <w:rPr>
          <w:rFonts w:asciiTheme="minorHAnsi" w:hAnsiTheme="minorHAnsi"/>
          <w:b/>
          <w:bCs/>
          <w:caps/>
          <w:color w:val="006082"/>
          <w:sz w:val="28"/>
          <w:szCs w:val="28"/>
        </w:rPr>
        <w:t xml:space="preserve"> </w:t>
      </w:r>
      <w:r w:rsidR="00832A55" w:rsidRPr="003A3A47">
        <w:rPr>
          <w:rFonts w:asciiTheme="minorHAnsi" w:hAnsiTheme="minorHAnsi"/>
          <w:b/>
          <w:bCs/>
          <w:caps/>
          <w:color w:val="006082"/>
          <w:sz w:val="28"/>
          <w:szCs w:val="28"/>
        </w:rPr>
        <w:t>international s</w:t>
      </w:r>
      <w:r w:rsidR="001A13F5">
        <w:rPr>
          <w:rFonts w:asciiTheme="minorHAnsi" w:hAnsiTheme="minorHAnsi"/>
          <w:b/>
          <w:bCs/>
          <w:caps/>
          <w:color w:val="006082"/>
          <w:sz w:val="28"/>
          <w:szCs w:val="28"/>
        </w:rPr>
        <w:t>CIENTIFIC CONFERENCE</w:t>
      </w:r>
    </w:p>
    <w:p w:rsidR="00832A55" w:rsidRPr="003A3A47" w:rsidRDefault="00F35221" w:rsidP="003A3A47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6082"/>
          <w:sz w:val="28"/>
          <w:szCs w:val="28"/>
        </w:rPr>
      </w:pPr>
      <w:r w:rsidRPr="003A3A47">
        <w:rPr>
          <w:rFonts w:asciiTheme="minorHAnsi" w:hAnsiTheme="minorHAnsi"/>
          <w:b/>
          <w:bCs/>
          <w:i/>
          <w:iCs/>
          <w:caps/>
          <w:color w:val="006082"/>
          <w:sz w:val="28"/>
          <w:szCs w:val="28"/>
        </w:rPr>
        <w:t>»Teaching Methods for Economics and Business S</w:t>
      </w:r>
      <w:r w:rsidR="00DC2935">
        <w:rPr>
          <w:rFonts w:asciiTheme="minorHAnsi" w:hAnsiTheme="minorHAnsi"/>
          <w:b/>
          <w:bCs/>
          <w:i/>
          <w:iCs/>
          <w:caps/>
          <w:color w:val="006082"/>
          <w:sz w:val="28"/>
          <w:szCs w:val="28"/>
        </w:rPr>
        <w:t>CIENCE</w:t>
      </w:r>
      <w:r w:rsidRPr="003A3A47">
        <w:rPr>
          <w:rFonts w:asciiTheme="minorHAnsi" w:hAnsiTheme="minorHAnsi"/>
          <w:b/>
          <w:bCs/>
          <w:i/>
          <w:iCs/>
          <w:caps/>
          <w:color w:val="006082"/>
          <w:sz w:val="28"/>
          <w:szCs w:val="28"/>
        </w:rPr>
        <w:t>s«</w:t>
      </w:r>
    </w:p>
    <w:p w:rsidR="003A3A47" w:rsidRPr="003A3A47" w:rsidRDefault="003A3A47" w:rsidP="003A3A47">
      <w:pPr>
        <w:shd w:val="clear" w:color="auto" w:fill="FFFFFF" w:themeFill="background1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832A55" w:rsidRPr="00230BAD" w:rsidRDefault="00031560" w:rsidP="003A3A47">
      <w:pPr>
        <w:shd w:val="clear" w:color="auto" w:fill="FFFFFF" w:themeFill="background1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Conference</w:t>
      </w:r>
      <w:r w:rsidR="00F35221" w:rsidRPr="00230BAD">
        <w:rPr>
          <w:rFonts w:asciiTheme="minorHAnsi" w:hAnsiTheme="minorHAnsi" w:cstheme="minorHAnsi"/>
          <w:b/>
          <w:bCs/>
          <w:sz w:val="22"/>
          <w:szCs w:val="22"/>
        </w:rPr>
        <w:t xml:space="preserve"> Announcement and Call for Abstracts </w:t>
      </w:r>
    </w:p>
    <w:p w:rsidR="00F35221" w:rsidRPr="00230BAD" w:rsidRDefault="001A13F5" w:rsidP="003A3A47">
      <w:pPr>
        <w:shd w:val="clear" w:color="auto" w:fill="FFFFFF" w:themeFill="background1"/>
        <w:spacing w:line="276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7 </w:t>
      </w:r>
      <w:r w:rsidR="00832A55" w:rsidRPr="00230BAD">
        <w:rPr>
          <w:rFonts w:ascii="Calibri" w:hAnsi="Calibri" w:cs="Calibri"/>
          <w:b/>
          <w:color w:val="000000" w:themeColor="text1"/>
          <w:sz w:val="22"/>
          <w:szCs w:val="22"/>
        </w:rPr>
        <w:t>May</w:t>
      </w:r>
      <w:r w:rsidR="003F6A49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832A55" w:rsidRPr="00230BAD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</w:p>
    <w:p w:rsidR="00F35221" w:rsidRPr="00230BAD" w:rsidRDefault="00F35221" w:rsidP="003A3A47">
      <w:pPr>
        <w:shd w:val="clear" w:color="auto" w:fill="FFFFFF" w:themeFill="background1"/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BAD">
        <w:rPr>
          <w:rFonts w:asciiTheme="minorHAnsi" w:hAnsiTheme="minorHAnsi" w:cstheme="minorHAnsi"/>
          <w:b/>
          <w:sz w:val="22"/>
          <w:szCs w:val="22"/>
        </w:rPr>
        <w:t xml:space="preserve">Faculty Economics and Business, University of Maribor, Maribor, Slovenia </w:t>
      </w:r>
    </w:p>
    <w:p w:rsidR="00871E2A" w:rsidRPr="00230BAD" w:rsidRDefault="00871E2A" w:rsidP="003A3A47">
      <w:pPr>
        <w:shd w:val="clear" w:color="auto" w:fill="FFFFFF" w:themeFill="background1"/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C1B83" w:rsidRDefault="00854697" w:rsidP="003A3A47">
      <w:pPr>
        <w:shd w:val="clear" w:color="auto" w:fill="FFFFFF" w:themeFill="background1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Teaching is a challenging yet rewarding profession which is underpinned by one essential question: </w:t>
      </w:r>
      <w:r w:rsidRPr="00734BB6">
        <w:rPr>
          <w:rFonts w:asciiTheme="minorHAnsi" w:hAnsiTheme="minorHAnsi" w:cstheme="minorHAnsi"/>
          <w:i/>
          <w:sz w:val="22"/>
          <w:szCs w:val="22"/>
        </w:rPr>
        <w:t xml:space="preserve">how </w:t>
      </w:r>
      <w:r w:rsidR="001E33D3" w:rsidRPr="00734BB6">
        <w:rPr>
          <w:rFonts w:asciiTheme="minorHAnsi" w:hAnsiTheme="minorHAnsi" w:cstheme="minorHAnsi"/>
          <w:i/>
          <w:sz w:val="22"/>
          <w:szCs w:val="22"/>
        </w:rPr>
        <w:t xml:space="preserve">do we </w:t>
      </w:r>
      <w:r w:rsidRPr="00734BB6">
        <w:rPr>
          <w:rFonts w:asciiTheme="minorHAnsi" w:hAnsiTheme="minorHAnsi" w:cstheme="minorHAnsi"/>
          <w:i/>
          <w:sz w:val="22"/>
          <w:szCs w:val="22"/>
        </w:rPr>
        <w:t xml:space="preserve">build a good teaching and learning environment </w:t>
      </w:r>
      <w:r w:rsidR="00956467" w:rsidRPr="00734BB6">
        <w:rPr>
          <w:rFonts w:asciiTheme="minorHAnsi" w:hAnsiTheme="minorHAnsi" w:cstheme="minorHAnsi"/>
          <w:i/>
          <w:sz w:val="22"/>
          <w:szCs w:val="22"/>
        </w:rPr>
        <w:t>so that</w:t>
      </w:r>
      <w:r w:rsidRPr="00734BB6">
        <w:rPr>
          <w:rFonts w:asciiTheme="minorHAnsi" w:hAnsiTheme="minorHAnsi" w:cstheme="minorHAnsi"/>
          <w:i/>
          <w:sz w:val="22"/>
          <w:szCs w:val="22"/>
        </w:rPr>
        <w:t xml:space="preserve"> our students </w:t>
      </w:r>
      <w:r w:rsidR="00956467" w:rsidRPr="00734BB6">
        <w:rPr>
          <w:rFonts w:asciiTheme="minorHAnsi" w:hAnsiTheme="minorHAnsi" w:cstheme="minorHAnsi"/>
          <w:i/>
          <w:sz w:val="22"/>
          <w:szCs w:val="22"/>
        </w:rPr>
        <w:t>can</w:t>
      </w:r>
      <w:r w:rsidRPr="00734BB6">
        <w:rPr>
          <w:rFonts w:asciiTheme="minorHAnsi" w:hAnsiTheme="minorHAnsi" w:cstheme="minorHAnsi"/>
          <w:i/>
          <w:sz w:val="22"/>
          <w:szCs w:val="22"/>
        </w:rPr>
        <w:t xml:space="preserve"> acquire </w:t>
      </w:r>
      <w:r w:rsidR="000A3BF9" w:rsidRPr="00734BB6">
        <w:rPr>
          <w:rFonts w:asciiTheme="minorHAnsi" w:hAnsiTheme="minorHAnsi" w:cstheme="minorHAnsi"/>
          <w:i/>
          <w:sz w:val="22"/>
          <w:szCs w:val="22"/>
        </w:rPr>
        <w:t>professional competences</w:t>
      </w:r>
      <w:r w:rsidRPr="00734B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A3BF9" w:rsidRPr="00734BB6">
        <w:rPr>
          <w:rFonts w:asciiTheme="minorHAnsi" w:hAnsiTheme="minorHAnsi" w:cstheme="minorHAnsi"/>
          <w:i/>
          <w:sz w:val="22"/>
          <w:szCs w:val="22"/>
        </w:rPr>
        <w:t xml:space="preserve">which </w:t>
      </w:r>
      <w:r w:rsidRPr="00734BB6">
        <w:rPr>
          <w:rFonts w:asciiTheme="minorHAnsi" w:hAnsiTheme="minorHAnsi" w:cstheme="minorHAnsi"/>
          <w:i/>
          <w:sz w:val="22"/>
          <w:szCs w:val="22"/>
        </w:rPr>
        <w:t>will enable them to be successful in today’s global business environment</w:t>
      </w:r>
      <w:r w:rsidRPr="00230BAD">
        <w:rPr>
          <w:rFonts w:asciiTheme="minorHAnsi" w:hAnsiTheme="minorHAnsi" w:cstheme="minorHAnsi"/>
          <w:sz w:val="22"/>
          <w:szCs w:val="22"/>
        </w:rPr>
        <w:t>. This question cover</w:t>
      </w:r>
      <w:r w:rsidR="00832A55" w:rsidRPr="00230BAD">
        <w:rPr>
          <w:rFonts w:asciiTheme="minorHAnsi" w:hAnsiTheme="minorHAnsi" w:cstheme="minorHAnsi"/>
          <w:sz w:val="22"/>
          <w:szCs w:val="22"/>
        </w:rPr>
        <w:t xml:space="preserve">s a </w:t>
      </w:r>
      <w:r w:rsidR="006673B9" w:rsidRPr="00230BAD">
        <w:rPr>
          <w:rFonts w:asciiTheme="minorHAnsi" w:hAnsiTheme="minorHAnsi" w:cstheme="minorHAnsi"/>
          <w:sz w:val="22"/>
          <w:szCs w:val="22"/>
        </w:rPr>
        <w:t>number of (inter)related issues</w:t>
      </w:r>
      <w:r w:rsidR="006A0EC4">
        <w:rPr>
          <w:rFonts w:asciiTheme="minorHAnsi" w:hAnsiTheme="minorHAnsi" w:cstheme="minorHAnsi"/>
          <w:sz w:val="22"/>
          <w:szCs w:val="22"/>
        </w:rPr>
        <w:t>, such as</w:t>
      </w:r>
      <w:r w:rsidR="006673B9" w:rsidRPr="00230BAD">
        <w:rPr>
          <w:rFonts w:asciiTheme="minorHAnsi" w:hAnsiTheme="minorHAnsi" w:cstheme="minorHAnsi"/>
          <w:sz w:val="22"/>
          <w:szCs w:val="22"/>
        </w:rPr>
        <w:t>:</w:t>
      </w:r>
      <w:r w:rsidR="00832A55" w:rsidRPr="00230B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0EC4" w:rsidRPr="00230BAD" w:rsidRDefault="006A0EC4" w:rsidP="003A3A47">
      <w:pPr>
        <w:shd w:val="clear" w:color="auto" w:fill="FFFFFF" w:themeFill="background1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6673B9" w:rsidRPr="00230BAD" w:rsidRDefault="00832A55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>Which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310F" w:rsidRPr="00230BAD">
        <w:rPr>
          <w:rFonts w:asciiTheme="minorHAnsi" w:hAnsiTheme="minorHAnsi" w:cstheme="minorHAnsi"/>
          <w:bCs/>
          <w:sz w:val="22"/>
          <w:szCs w:val="22"/>
        </w:rPr>
        <w:t xml:space="preserve">teaching methods and 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techniques can we employ to </w:t>
      </w:r>
      <w:r w:rsidR="00956467" w:rsidRPr="00230BAD">
        <w:rPr>
          <w:rFonts w:asciiTheme="minorHAnsi" w:hAnsiTheme="minorHAnsi" w:cstheme="minorHAnsi"/>
          <w:bCs/>
          <w:sz w:val="22"/>
          <w:szCs w:val="22"/>
        </w:rPr>
        <w:t xml:space="preserve">best fit </w:t>
      </w:r>
      <w:r w:rsidR="000A3BF9" w:rsidRPr="00230BAD">
        <w:rPr>
          <w:rFonts w:asciiTheme="minorHAnsi" w:hAnsiTheme="minorHAnsi" w:cstheme="minorHAnsi"/>
          <w:bCs/>
          <w:sz w:val="22"/>
          <w:szCs w:val="22"/>
        </w:rPr>
        <w:t xml:space="preserve">the subjects we teach? </w:t>
      </w:r>
    </w:p>
    <w:p w:rsidR="006673B9" w:rsidRPr="00230BAD" w:rsidRDefault="00414F32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>Are</w:t>
      </w:r>
      <w:r w:rsidR="00BA64E7" w:rsidRPr="00230BAD">
        <w:rPr>
          <w:rFonts w:asciiTheme="minorHAnsi" w:hAnsiTheme="minorHAnsi" w:cstheme="minorHAnsi"/>
          <w:bCs/>
          <w:sz w:val="22"/>
          <w:szCs w:val="22"/>
        </w:rPr>
        <w:t xml:space="preserve"> traditional </w:t>
      </w:r>
      <w:r w:rsidR="00956467" w:rsidRPr="00230BAD">
        <w:rPr>
          <w:rFonts w:asciiTheme="minorHAnsi" w:hAnsiTheme="minorHAnsi" w:cstheme="minorHAnsi"/>
          <w:bCs/>
          <w:sz w:val="22"/>
          <w:szCs w:val="22"/>
        </w:rPr>
        <w:t xml:space="preserve">teaching </w:t>
      </w:r>
      <w:r w:rsidR="00BA64E7" w:rsidRPr="00230BAD">
        <w:rPr>
          <w:rFonts w:asciiTheme="minorHAnsi" w:hAnsiTheme="minorHAnsi" w:cstheme="minorHAnsi"/>
          <w:bCs/>
          <w:sz w:val="22"/>
          <w:szCs w:val="22"/>
        </w:rPr>
        <w:t xml:space="preserve">methods 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still relevant </w:t>
      </w:r>
      <w:r w:rsidR="00BA64E7" w:rsidRPr="00230BAD">
        <w:rPr>
          <w:rFonts w:asciiTheme="minorHAnsi" w:hAnsiTheme="minorHAnsi" w:cstheme="minorHAnsi"/>
          <w:bCs/>
          <w:sz w:val="22"/>
          <w:szCs w:val="22"/>
        </w:rPr>
        <w:t xml:space="preserve">within university educational process? </w:t>
      </w:r>
    </w:p>
    <w:p w:rsidR="006673B9" w:rsidRPr="00230BAD" w:rsidRDefault="00956467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 xml:space="preserve">How do </w:t>
      </w:r>
      <w:r w:rsidR="00414F32" w:rsidRPr="00230BAD">
        <w:rPr>
          <w:rFonts w:asciiTheme="minorHAnsi" w:hAnsiTheme="minorHAnsi" w:cstheme="minorHAnsi"/>
          <w:bCs/>
          <w:sz w:val="22"/>
          <w:szCs w:val="22"/>
        </w:rPr>
        <w:t xml:space="preserve">we 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cater for different needs and learning styles of our students? </w:t>
      </w:r>
    </w:p>
    <w:p w:rsidR="006673B9" w:rsidRPr="00230BAD" w:rsidRDefault="00A1310F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 xml:space="preserve">Which teaching methods can we 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>apply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 xml:space="preserve">develop </w:t>
      </w:r>
      <w:r w:rsidR="00956467" w:rsidRPr="00230BAD">
        <w:rPr>
          <w:rFonts w:asciiTheme="minorHAnsi" w:hAnsiTheme="minorHAnsi" w:cstheme="minorHAnsi"/>
          <w:bCs/>
          <w:sz w:val="22"/>
          <w:szCs w:val="22"/>
        </w:rPr>
        <w:t xml:space="preserve">our 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 xml:space="preserve">students’ </w:t>
      </w:r>
      <w:r w:rsidR="00414F32" w:rsidRPr="00230BAD">
        <w:rPr>
          <w:rFonts w:asciiTheme="minorHAnsi" w:hAnsiTheme="minorHAnsi" w:cstheme="minorHAnsi"/>
          <w:bCs/>
          <w:sz w:val="22"/>
          <w:szCs w:val="22"/>
        </w:rPr>
        <w:t>ability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414F32" w:rsidRPr="00230BAD">
        <w:rPr>
          <w:rFonts w:asciiTheme="minorHAnsi" w:hAnsiTheme="minorHAnsi" w:cstheme="minorHAnsi"/>
          <w:bCs/>
          <w:sz w:val="22"/>
          <w:szCs w:val="22"/>
        </w:rPr>
        <w:t>generate ideas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414F32" w:rsidRPr="00230BAD">
        <w:rPr>
          <w:rFonts w:asciiTheme="minorHAnsi" w:hAnsiTheme="minorHAnsi" w:cstheme="minorHAnsi"/>
          <w:bCs/>
          <w:sz w:val="22"/>
          <w:szCs w:val="22"/>
        </w:rPr>
        <w:t>evidence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? </w:t>
      </w:r>
    </w:p>
    <w:p w:rsidR="006673B9" w:rsidRPr="00230BAD" w:rsidRDefault="000A3BF9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 xml:space="preserve">How can we 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>encourage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 students </w:t>
      </w:r>
      <w:r w:rsidR="00BA64E7" w:rsidRPr="00230BAD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A1310F" w:rsidRPr="00230BAD">
        <w:rPr>
          <w:rFonts w:asciiTheme="minorHAnsi" w:hAnsiTheme="minorHAnsi" w:cstheme="minorHAnsi"/>
          <w:bCs/>
          <w:sz w:val="22"/>
          <w:szCs w:val="22"/>
        </w:rPr>
        <w:t>become active and independent learners</w:t>
      </w:r>
      <w:r w:rsidRPr="00230BAD">
        <w:rPr>
          <w:rFonts w:asciiTheme="minorHAnsi" w:hAnsiTheme="minorHAnsi" w:cstheme="minorHAnsi"/>
          <w:bCs/>
          <w:sz w:val="22"/>
          <w:szCs w:val="22"/>
        </w:rPr>
        <w:t xml:space="preserve">? </w:t>
      </w:r>
    </w:p>
    <w:p w:rsidR="006673B9" w:rsidRPr="00230BAD" w:rsidRDefault="007A68E8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 xml:space="preserve">What do we know about our students’ motivations </w:t>
      </w:r>
      <w:r w:rsidRPr="00230BAD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Pr="00230BAD">
        <w:rPr>
          <w:rFonts w:asciiTheme="minorHAnsi" w:hAnsiTheme="minorHAnsi"/>
          <w:sz w:val="22"/>
          <w:szCs w:val="22"/>
        </w:rPr>
        <w:t xml:space="preserve">what impact does this have on our teaching? </w:t>
      </w:r>
    </w:p>
    <w:p w:rsidR="006673B9" w:rsidRPr="00230BAD" w:rsidRDefault="000A3BF9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 xml:space="preserve">How do we </w:t>
      </w:r>
      <w:r w:rsidR="00BA64E7" w:rsidRPr="00230BAD">
        <w:rPr>
          <w:rFonts w:asciiTheme="minorHAnsi" w:hAnsiTheme="minorHAnsi" w:cstheme="minorHAnsi"/>
          <w:bCs/>
          <w:sz w:val="22"/>
          <w:szCs w:val="22"/>
        </w:rPr>
        <w:t xml:space="preserve">integrate modern technology into our teaching? </w:t>
      </w:r>
    </w:p>
    <w:p w:rsidR="006673B9" w:rsidRPr="00230BAD" w:rsidRDefault="0030229D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 xml:space="preserve">How do we inspire creativity in our students? </w:t>
      </w:r>
    </w:p>
    <w:p w:rsidR="006673B9" w:rsidRPr="00230BAD" w:rsidRDefault="00906D40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>How do we facilitate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 xml:space="preserve"> personal development of our students? </w:t>
      </w:r>
    </w:p>
    <w:p w:rsidR="007A68E8" w:rsidRPr="00230BAD" w:rsidRDefault="0030229D" w:rsidP="003A3A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ind w:left="567"/>
        <w:jc w:val="both"/>
        <w:outlineLvl w:val="0"/>
        <w:rPr>
          <w:rFonts w:asciiTheme="minorHAnsi" w:hAnsiTheme="minorHAnsi"/>
          <w:sz w:val="22"/>
          <w:szCs w:val="22"/>
        </w:rPr>
      </w:pPr>
      <w:r w:rsidRPr="00230BAD">
        <w:rPr>
          <w:rFonts w:asciiTheme="minorHAnsi" w:hAnsiTheme="minorHAnsi" w:cstheme="minorHAnsi"/>
          <w:bCs/>
          <w:sz w:val="22"/>
          <w:szCs w:val="22"/>
        </w:rPr>
        <w:t>How (often) do we reflect upon our own teaching practice?</w:t>
      </w:r>
      <w:r w:rsidR="007A68E8" w:rsidRPr="00230BA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A3BF9" w:rsidRPr="00230BAD" w:rsidRDefault="000A3BF9" w:rsidP="003A3A47">
      <w:pPr>
        <w:shd w:val="clear" w:color="auto" w:fill="FFFFFF" w:themeFill="background1"/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A68E8" w:rsidRPr="00230BAD" w:rsidRDefault="007A68E8" w:rsidP="003A3A47">
      <w:pPr>
        <w:shd w:val="clear" w:color="auto" w:fill="FFFFFF" w:themeFill="background1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We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invite 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scholars and </w:t>
      </w:r>
      <w:r w:rsidR="00F35221" w:rsidRPr="00230BAD">
        <w:rPr>
          <w:rFonts w:asciiTheme="minorHAnsi" w:hAnsiTheme="minorHAnsi" w:cstheme="minorHAnsi"/>
          <w:sz w:val="22"/>
          <w:szCs w:val="22"/>
        </w:rPr>
        <w:t>practitioners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 who teach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 economics and business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subjects to participate at the </w:t>
      </w:r>
      <w:r w:rsidR="00031560">
        <w:rPr>
          <w:rFonts w:asciiTheme="minorHAnsi" w:hAnsiTheme="minorHAnsi" w:cstheme="minorHAnsi"/>
          <w:sz w:val="22"/>
          <w:szCs w:val="22"/>
        </w:rPr>
        <w:t>2</w:t>
      </w:r>
      <w:r w:rsidR="00031560" w:rsidRPr="0003156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E83216" w:rsidRPr="00031560">
        <w:rPr>
          <w:rFonts w:asciiTheme="minorHAnsi" w:hAnsiTheme="minorHAnsi" w:cstheme="minorHAnsi"/>
          <w:sz w:val="20"/>
          <w:szCs w:val="22"/>
          <w:vertAlign w:val="superscript"/>
        </w:rPr>
        <w:t xml:space="preserve"> </w:t>
      </w:r>
      <w:r w:rsidR="00775798">
        <w:rPr>
          <w:rFonts w:asciiTheme="minorHAnsi" w:hAnsiTheme="minorHAnsi" w:cstheme="minorHAnsi"/>
          <w:sz w:val="22"/>
          <w:szCs w:val="22"/>
        </w:rPr>
        <w:t>International Scientific C</w:t>
      </w:r>
      <w:r w:rsidR="00031560">
        <w:rPr>
          <w:rFonts w:asciiTheme="minorHAnsi" w:hAnsiTheme="minorHAnsi" w:cstheme="minorHAnsi"/>
          <w:sz w:val="22"/>
          <w:szCs w:val="22"/>
        </w:rPr>
        <w:t>onference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414F32" w:rsidRPr="00734BB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»Teaching Methods for </w:t>
      </w:r>
      <w:r w:rsidR="00F03240">
        <w:rPr>
          <w:rFonts w:asciiTheme="minorHAnsi" w:hAnsiTheme="minorHAnsi" w:cstheme="minorHAnsi"/>
          <w:b/>
          <w:i/>
          <w:iCs/>
          <w:sz w:val="22"/>
          <w:szCs w:val="22"/>
        </w:rPr>
        <w:t>Economics and Business Sciences</w:t>
      </w:r>
      <w:r w:rsidR="00414F32" w:rsidRPr="00734BB6">
        <w:rPr>
          <w:rFonts w:asciiTheme="minorHAnsi" w:hAnsiTheme="minorHAnsi" w:cstheme="minorHAnsi"/>
          <w:b/>
          <w:i/>
          <w:iCs/>
          <w:sz w:val="22"/>
          <w:szCs w:val="22"/>
        </w:rPr>
        <w:t>«</w:t>
      </w:r>
      <w:r w:rsidR="00414F32" w:rsidRPr="00734BB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4F32" w:rsidRPr="00230BAD">
        <w:rPr>
          <w:rFonts w:asciiTheme="minorHAnsi" w:hAnsiTheme="minorHAnsi" w:cstheme="minorHAnsi"/>
          <w:sz w:val="22"/>
          <w:szCs w:val="22"/>
        </w:rPr>
        <w:t>which</w:t>
      </w:r>
      <w:r w:rsidR="00414F32" w:rsidRPr="00230B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will take place on </w:t>
      </w:r>
      <w:r w:rsidR="001A13F5">
        <w:rPr>
          <w:rFonts w:asciiTheme="minorHAnsi" w:hAnsiTheme="minorHAnsi" w:cstheme="minorHAnsi"/>
          <w:b/>
          <w:sz w:val="22"/>
          <w:szCs w:val="22"/>
        </w:rPr>
        <w:t>7</w:t>
      </w:r>
      <w:r w:rsidR="00414F32" w:rsidRPr="00734BB6">
        <w:rPr>
          <w:rFonts w:asciiTheme="minorHAnsi" w:hAnsiTheme="minorHAnsi" w:cstheme="minorHAnsi"/>
          <w:b/>
          <w:sz w:val="22"/>
          <w:szCs w:val="22"/>
        </w:rPr>
        <w:t xml:space="preserve"> May</w:t>
      </w:r>
      <w:r w:rsidR="003F6A49">
        <w:rPr>
          <w:rFonts w:asciiTheme="minorHAnsi" w:hAnsiTheme="minorHAnsi" w:cstheme="minorHAnsi"/>
          <w:b/>
          <w:sz w:val="22"/>
          <w:szCs w:val="22"/>
        </w:rPr>
        <w:t>,</w:t>
      </w:r>
      <w:r w:rsidR="00414F32" w:rsidRPr="00734BB6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1A13F5">
        <w:rPr>
          <w:rFonts w:asciiTheme="minorHAnsi" w:hAnsiTheme="minorHAnsi" w:cstheme="minorHAnsi"/>
          <w:b/>
          <w:sz w:val="22"/>
          <w:szCs w:val="22"/>
        </w:rPr>
        <w:t>8</w:t>
      </w:r>
      <w:r w:rsidR="00414F32" w:rsidRPr="00734BB6">
        <w:rPr>
          <w:rFonts w:asciiTheme="minorHAnsi" w:hAnsiTheme="minorHAnsi" w:cstheme="minorHAnsi"/>
          <w:sz w:val="22"/>
          <w:szCs w:val="22"/>
        </w:rPr>
        <w:t xml:space="preserve"> 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at </w:t>
      </w:r>
      <w:r w:rsidR="00414F32" w:rsidRPr="00734BB6">
        <w:rPr>
          <w:rFonts w:asciiTheme="minorHAnsi" w:hAnsiTheme="minorHAnsi" w:cstheme="minorHAnsi"/>
          <w:b/>
          <w:sz w:val="22"/>
          <w:szCs w:val="22"/>
        </w:rPr>
        <w:t>the Faculty of Economics and Business</w:t>
      </w:r>
      <w:r w:rsidR="006A597F" w:rsidRPr="00734BB6">
        <w:rPr>
          <w:rFonts w:asciiTheme="minorHAnsi" w:hAnsiTheme="minorHAnsi" w:cstheme="minorHAnsi"/>
          <w:sz w:val="22"/>
          <w:szCs w:val="22"/>
        </w:rPr>
        <w:t>,</w:t>
      </w:r>
      <w:r w:rsidR="0080296A" w:rsidRPr="00734BB6"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="006A597F" w:rsidRPr="00734BB6">
        <w:rPr>
          <w:rFonts w:asciiTheme="minorHAnsi" w:hAnsiTheme="minorHAnsi" w:cstheme="minorHAnsi"/>
          <w:b/>
          <w:sz w:val="22"/>
          <w:szCs w:val="22"/>
        </w:rPr>
        <w:t xml:space="preserve"> University of</w:t>
      </w:r>
      <w:r w:rsidR="00230BAD" w:rsidRPr="00734B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4F32" w:rsidRPr="00734BB6">
        <w:rPr>
          <w:rFonts w:asciiTheme="minorHAnsi" w:hAnsiTheme="minorHAnsi" w:cstheme="minorHAnsi"/>
          <w:b/>
          <w:sz w:val="22"/>
          <w:szCs w:val="22"/>
        </w:rPr>
        <w:t>Maribor</w:t>
      </w:r>
      <w:r w:rsidR="00290052" w:rsidRPr="00230BAD">
        <w:rPr>
          <w:rFonts w:asciiTheme="minorHAnsi" w:hAnsiTheme="minorHAnsi" w:cstheme="minorHAnsi"/>
          <w:sz w:val="22"/>
          <w:szCs w:val="22"/>
        </w:rPr>
        <w:t>, and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to </w:t>
      </w:r>
      <w:r w:rsidR="00D26E23" w:rsidRPr="00230BAD">
        <w:rPr>
          <w:rFonts w:asciiTheme="minorHAnsi" w:hAnsiTheme="minorHAnsi" w:cstheme="minorHAnsi"/>
          <w:sz w:val="22"/>
          <w:szCs w:val="22"/>
        </w:rPr>
        <w:t>report on their teaching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 methods</w:t>
      </w:r>
      <w:r w:rsidR="00D26E23" w:rsidRPr="00230BAD">
        <w:rPr>
          <w:rFonts w:asciiTheme="minorHAnsi" w:hAnsiTheme="minorHAnsi" w:cstheme="minorHAnsi"/>
          <w:sz w:val="22"/>
          <w:szCs w:val="22"/>
        </w:rPr>
        <w:t xml:space="preserve">, to </w:t>
      </w:r>
      <w:r w:rsidR="00F35221" w:rsidRPr="00230BAD">
        <w:rPr>
          <w:rFonts w:asciiTheme="minorHAnsi" w:hAnsiTheme="minorHAnsi" w:cstheme="minorHAnsi"/>
          <w:sz w:val="22"/>
          <w:szCs w:val="22"/>
        </w:rPr>
        <w:t>share their experience</w:t>
      </w:r>
      <w:r w:rsidR="00A1310F" w:rsidRPr="00230BAD">
        <w:rPr>
          <w:rFonts w:asciiTheme="minorHAnsi" w:hAnsiTheme="minorHAnsi" w:cstheme="minorHAnsi"/>
          <w:sz w:val="22"/>
          <w:szCs w:val="22"/>
        </w:rPr>
        <w:t xml:space="preserve"> and examples of good practice </w:t>
      </w:r>
      <w:r w:rsidR="00031560">
        <w:rPr>
          <w:rFonts w:asciiTheme="minorHAnsi" w:hAnsiTheme="minorHAnsi" w:cstheme="minorHAnsi"/>
          <w:sz w:val="22"/>
          <w:szCs w:val="22"/>
        </w:rPr>
        <w:t>as well as</w:t>
      </w:r>
      <w:r w:rsidRPr="00230BAD">
        <w:rPr>
          <w:rFonts w:asciiTheme="minorHAnsi" w:hAnsiTheme="minorHAnsi" w:cstheme="minorHAnsi"/>
          <w:sz w:val="22"/>
          <w:szCs w:val="22"/>
        </w:rPr>
        <w:t xml:space="preserve"> to explore future developments in the field.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310F" w:rsidRPr="00230BAD" w:rsidRDefault="00A1310F" w:rsidP="003A3A47">
      <w:pPr>
        <w:shd w:val="clear" w:color="auto" w:fill="FFFFFF" w:themeFill="background1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832A55" w:rsidRPr="00A55B6A" w:rsidRDefault="00A1310F" w:rsidP="003A3A47">
      <w:pPr>
        <w:shd w:val="clear" w:color="auto" w:fill="FFFFFF" w:themeFill="background1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A55B6A">
        <w:rPr>
          <w:rFonts w:asciiTheme="minorHAnsi" w:hAnsiTheme="minorHAnsi" w:cstheme="minorHAnsi"/>
          <w:sz w:val="22"/>
          <w:szCs w:val="22"/>
          <w:u w:val="single"/>
        </w:rPr>
        <w:t xml:space="preserve">We welcome proposals for papers on a broad scope of topics related to </w:t>
      </w:r>
      <w:r w:rsidR="003D5925" w:rsidRPr="00A55B6A">
        <w:rPr>
          <w:rFonts w:asciiTheme="minorHAnsi" w:hAnsiTheme="minorHAnsi" w:cstheme="minorHAnsi"/>
          <w:sz w:val="22"/>
          <w:szCs w:val="22"/>
          <w:u w:val="single"/>
        </w:rPr>
        <w:t>the t</w:t>
      </w:r>
      <w:r w:rsidR="00D26E23" w:rsidRPr="00A55B6A">
        <w:rPr>
          <w:rFonts w:asciiTheme="minorHAnsi" w:hAnsiTheme="minorHAnsi" w:cstheme="minorHAnsi"/>
          <w:sz w:val="22"/>
          <w:szCs w:val="22"/>
          <w:u w:val="single"/>
        </w:rPr>
        <w:t xml:space="preserve">heme </w:t>
      </w:r>
      <w:r w:rsidR="006A0EC4" w:rsidRPr="00A55B6A">
        <w:rPr>
          <w:rFonts w:asciiTheme="minorHAnsi" w:hAnsiTheme="minorHAnsi" w:cstheme="minorHAnsi"/>
          <w:sz w:val="22"/>
          <w:szCs w:val="22"/>
          <w:u w:val="single"/>
        </w:rPr>
        <w:t xml:space="preserve">of the </w:t>
      </w:r>
      <w:r w:rsidR="006034CB" w:rsidRPr="00A55B6A">
        <w:rPr>
          <w:rFonts w:asciiTheme="minorHAnsi" w:hAnsiTheme="minorHAnsi" w:cstheme="minorHAnsi"/>
          <w:sz w:val="22"/>
          <w:szCs w:val="22"/>
          <w:u w:val="single"/>
        </w:rPr>
        <w:t>conference</w:t>
      </w:r>
      <w:r w:rsidRPr="00A55B6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F35221" w:rsidRPr="00230BAD" w:rsidRDefault="00D26E23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different </w:t>
      </w:r>
      <w:r w:rsidR="00A1310F" w:rsidRPr="00230BAD">
        <w:rPr>
          <w:rFonts w:asciiTheme="minorHAnsi" w:hAnsiTheme="minorHAnsi" w:cstheme="minorHAnsi"/>
          <w:sz w:val="22"/>
          <w:szCs w:val="22"/>
        </w:rPr>
        <w:t xml:space="preserve">methods and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approaches used in teaching </w:t>
      </w:r>
      <w:r w:rsidR="00A1310F" w:rsidRPr="00230BAD">
        <w:rPr>
          <w:rFonts w:asciiTheme="minorHAnsi" w:hAnsiTheme="minorHAnsi" w:cstheme="minorHAnsi"/>
          <w:sz w:val="22"/>
          <w:szCs w:val="22"/>
        </w:rPr>
        <w:t>economics and business subjects;</w:t>
      </w:r>
    </w:p>
    <w:p w:rsidR="00A1310F" w:rsidRPr="00230BAD" w:rsidRDefault="00A1310F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aligning teaching </w:t>
      </w:r>
      <w:r w:rsidR="0030229D" w:rsidRPr="00230BAD">
        <w:rPr>
          <w:rFonts w:asciiTheme="minorHAnsi" w:hAnsiTheme="minorHAnsi" w:cstheme="minorHAnsi"/>
          <w:sz w:val="22"/>
          <w:szCs w:val="22"/>
        </w:rPr>
        <w:t xml:space="preserve">and learning </w:t>
      </w:r>
      <w:r w:rsidRPr="00230BAD">
        <w:rPr>
          <w:rFonts w:asciiTheme="minorHAnsi" w:hAnsiTheme="minorHAnsi" w:cstheme="minorHAnsi"/>
          <w:sz w:val="22"/>
          <w:szCs w:val="22"/>
        </w:rPr>
        <w:t xml:space="preserve">methods with </w:t>
      </w:r>
      <w:r w:rsidR="006A597F" w:rsidRPr="00230BAD">
        <w:rPr>
          <w:rFonts w:asciiTheme="minorHAnsi" w:hAnsiTheme="minorHAnsi" w:cstheme="minorHAnsi"/>
          <w:sz w:val="22"/>
          <w:szCs w:val="22"/>
        </w:rPr>
        <w:t xml:space="preserve">course objectives and </w:t>
      </w:r>
      <w:r w:rsidRPr="00230BAD">
        <w:rPr>
          <w:rFonts w:asciiTheme="minorHAnsi" w:hAnsiTheme="minorHAnsi" w:cstheme="minorHAnsi"/>
          <w:sz w:val="22"/>
          <w:szCs w:val="22"/>
        </w:rPr>
        <w:t xml:space="preserve">learning </w:t>
      </w:r>
      <w:r w:rsidR="0030229D" w:rsidRPr="00230BAD">
        <w:rPr>
          <w:rFonts w:asciiTheme="minorHAnsi" w:hAnsiTheme="minorHAnsi" w:cstheme="minorHAnsi"/>
          <w:sz w:val="22"/>
          <w:szCs w:val="22"/>
        </w:rPr>
        <w:t>outcomes;</w:t>
      </w:r>
    </w:p>
    <w:p w:rsidR="00414F32" w:rsidRPr="00230BAD" w:rsidRDefault="0030229D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teaching and learning with 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modern </w:t>
      </w:r>
      <w:r w:rsidRPr="00230BAD">
        <w:rPr>
          <w:rFonts w:asciiTheme="minorHAnsi" w:hAnsiTheme="minorHAnsi" w:cstheme="minorHAnsi"/>
          <w:sz w:val="22"/>
          <w:szCs w:val="22"/>
        </w:rPr>
        <w:t>ICT</w:t>
      </w:r>
      <w:r w:rsidR="00414F32" w:rsidRPr="00230BAD">
        <w:rPr>
          <w:rFonts w:asciiTheme="minorHAnsi" w:hAnsiTheme="minorHAnsi" w:cstheme="minorHAnsi"/>
          <w:sz w:val="22"/>
          <w:szCs w:val="22"/>
        </w:rPr>
        <w:t>;</w:t>
      </w:r>
    </w:p>
    <w:p w:rsidR="00D26E23" w:rsidRPr="00230BAD" w:rsidRDefault="00D26E23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>using social networks for teaching and learning;</w:t>
      </w:r>
    </w:p>
    <w:p w:rsidR="0030229D" w:rsidRPr="00230BAD" w:rsidRDefault="0030229D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>intercultural dimension in teaching economics and business subjects;</w:t>
      </w:r>
    </w:p>
    <w:p w:rsidR="00D26E23" w:rsidRPr="00230BAD" w:rsidRDefault="00D26E23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>teaching the millennials;</w:t>
      </w:r>
    </w:p>
    <w:p w:rsidR="00956467" w:rsidRPr="00230BAD" w:rsidRDefault="00D26E23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>stimulating creative thinking of students;</w:t>
      </w:r>
    </w:p>
    <w:p w:rsidR="00D26E23" w:rsidRPr="00230BAD" w:rsidRDefault="00D26E23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>team teaching and action research;</w:t>
      </w:r>
    </w:p>
    <w:p w:rsidR="00414F32" w:rsidRPr="00230BAD" w:rsidRDefault="00414F32" w:rsidP="003A3A47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proofErr w:type="gramStart"/>
      <w:r w:rsidRPr="00230BAD">
        <w:rPr>
          <w:rFonts w:asciiTheme="minorHAnsi" w:hAnsiTheme="minorHAnsi" w:cstheme="minorHAnsi"/>
          <w:sz w:val="22"/>
          <w:szCs w:val="22"/>
        </w:rPr>
        <w:t>other</w:t>
      </w:r>
      <w:proofErr w:type="gramEnd"/>
      <w:r w:rsidRPr="00230BAD">
        <w:rPr>
          <w:rFonts w:asciiTheme="minorHAnsi" w:hAnsiTheme="minorHAnsi" w:cstheme="minorHAnsi"/>
          <w:sz w:val="22"/>
          <w:szCs w:val="22"/>
        </w:rPr>
        <w:t xml:space="preserve"> related topics. </w:t>
      </w:r>
    </w:p>
    <w:p w:rsidR="00A1310F" w:rsidRPr="00230BAD" w:rsidRDefault="00A1310F" w:rsidP="003A3A4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1613" w:rsidRDefault="00861613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3342" w:rsidRPr="00003342" w:rsidRDefault="00F35221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0BAD">
        <w:rPr>
          <w:rFonts w:asciiTheme="minorHAnsi" w:hAnsiTheme="minorHAnsi" w:cstheme="minorHAnsi"/>
          <w:b/>
          <w:bCs/>
          <w:sz w:val="22"/>
          <w:szCs w:val="22"/>
        </w:rPr>
        <w:t>Abstract submission</w:t>
      </w:r>
    </w:p>
    <w:p w:rsidR="00F35221" w:rsidRPr="00230BAD" w:rsidRDefault="000D4C06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We invite </w:t>
      </w:r>
      <w:r w:rsidR="001A13F5">
        <w:rPr>
          <w:rFonts w:asciiTheme="minorHAnsi" w:hAnsiTheme="minorHAnsi" w:cstheme="minorHAnsi"/>
          <w:sz w:val="22"/>
          <w:szCs w:val="22"/>
        </w:rPr>
        <w:t>150-</w:t>
      </w:r>
      <w:r w:rsidRPr="00230BAD">
        <w:rPr>
          <w:rFonts w:asciiTheme="minorHAnsi" w:hAnsiTheme="minorHAnsi" w:cstheme="minorHAnsi"/>
          <w:sz w:val="22"/>
          <w:szCs w:val="22"/>
        </w:rPr>
        <w:t>word abstract</w:t>
      </w:r>
      <w:r w:rsidR="00847201" w:rsidRPr="00230BAD">
        <w:rPr>
          <w:rFonts w:asciiTheme="minorHAnsi" w:hAnsiTheme="minorHAnsi" w:cstheme="minorHAnsi"/>
          <w:sz w:val="22"/>
          <w:szCs w:val="22"/>
        </w:rPr>
        <w:t>s</w:t>
      </w:r>
      <w:r w:rsidR="004B1BAC">
        <w:rPr>
          <w:rFonts w:asciiTheme="minorHAnsi" w:hAnsiTheme="minorHAnsi" w:cstheme="minorHAnsi"/>
          <w:sz w:val="22"/>
          <w:szCs w:val="22"/>
        </w:rPr>
        <w:t xml:space="preserve"> in English for the delivery of </w:t>
      </w:r>
      <w:r w:rsidRPr="00230BAD">
        <w:rPr>
          <w:rFonts w:asciiTheme="minorHAnsi" w:hAnsiTheme="minorHAnsi" w:cstheme="minorHAnsi"/>
          <w:sz w:val="22"/>
          <w:szCs w:val="22"/>
        </w:rPr>
        <w:t xml:space="preserve">15-minute presentations at the </w:t>
      </w:r>
      <w:r w:rsidR="001A13F5">
        <w:rPr>
          <w:rFonts w:asciiTheme="minorHAnsi" w:hAnsiTheme="minorHAnsi" w:cstheme="minorHAnsi"/>
          <w:sz w:val="22"/>
          <w:szCs w:val="22"/>
        </w:rPr>
        <w:t>conference</w:t>
      </w:r>
      <w:r w:rsidRPr="00230BAD">
        <w:rPr>
          <w:rFonts w:asciiTheme="minorHAnsi" w:hAnsiTheme="minorHAnsi" w:cstheme="minorHAnsi"/>
          <w:sz w:val="22"/>
          <w:szCs w:val="22"/>
        </w:rPr>
        <w:t xml:space="preserve">. The submission </w:t>
      </w:r>
      <w:r w:rsidRPr="00455707">
        <w:rPr>
          <w:rFonts w:asciiTheme="minorHAnsi" w:hAnsiTheme="minorHAnsi" w:cstheme="minorHAnsi"/>
          <w:sz w:val="22"/>
          <w:szCs w:val="22"/>
        </w:rPr>
        <w:t xml:space="preserve">deadline is </w:t>
      </w:r>
      <w:r w:rsidR="00455707" w:rsidRPr="00455707">
        <w:rPr>
          <w:rFonts w:asciiTheme="minorHAnsi" w:hAnsiTheme="minorHAnsi" w:cstheme="minorHAnsi"/>
          <w:b/>
          <w:sz w:val="22"/>
          <w:szCs w:val="22"/>
        </w:rPr>
        <w:t>22</w:t>
      </w:r>
      <w:r w:rsidR="00414F32" w:rsidRPr="00455707">
        <w:rPr>
          <w:rFonts w:asciiTheme="minorHAnsi" w:hAnsiTheme="minorHAnsi" w:cstheme="minorHAnsi"/>
          <w:b/>
          <w:sz w:val="22"/>
          <w:szCs w:val="22"/>
        </w:rPr>
        <w:t xml:space="preserve"> January</w:t>
      </w:r>
      <w:r w:rsidR="003F6A49">
        <w:rPr>
          <w:rFonts w:asciiTheme="minorHAnsi" w:hAnsiTheme="minorHAnsi" w:cstheme="minorHAnsi"/>
          <w:b/>
          <w:sz w:val="22"/>
          <w:szCs w:val="22"/>
        </w:rPr>
        <w:t>,</w:t>
      </w:r>
      <w:r w:rsidR="00414F32" w:rsidRPr="00455707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F03240" w:rsidRPr="00455707">
        <w:rPr>
          <w:rFonts w:asciiTheme="minorHAnsi" w:hAnsiTheme="minorHAnsi" w:cstheme="minorHAnsi"/>
          <w:b/>
          <w:sz w:val="22"/>
          <w:szCs w:val="22"/>
        </w:rPr>
        <w:t>8</w:t>
      </w:r>
      <w:r w:rsidR="00414F32" w:rsidRPr="00455707">
        <w:rPr>
          <w:rFonts w:asciiTheme="minorHAnsi" w:hAnsiTheme="minorHAnsi" w:cstheme="minorHAnsi"/>
          <w:b/>
          <w:sz w:val="22"/>
          <w:szCs w:val="22"/>
        </w:rPr>
        <w:t>.</w:t>
      </w:r>
      <w:r w:rsidR="00414F32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F35221" w:rsidRPr="00230BAD">
        <w:rPr>
          <w:rFonts w:asciiTheme="minorHAnsi" w:hAnsiTheme="minorHAnsi" w:cstheme="minorHAnsi"/>
          <w:sz w:val="22"/>
          <w:szCs w:val="22"/>
        </w:rPr>
        <w:t>Please</w:t>
      </w:r>
      <w:r w:rsidR="00847201" w:rsidRPr="00230BAD">
        <w:rPr>
          <w:rFonts w:asciiTheme="minorHAnsi" w:hAnsiTheme="minorHAnsi" w:cstheme="minorHAnsi"/>
          <w:sz w:val="22"/>
          <w:szCs w:val="22"/>
        </w:rPr>
        <w:t>,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 use the attached form and send it to </w:t>
      </w:r>
      <w:hyperlink r:id="rId7" w:history="1">
        <w:r w:rsidR="001A13F5" w:rsidRPr="00144468">
          <w:rPr>
            <w:rStyle w:val="Hyperlink"/>
            <w:rFonts w:asciiTheme="minorHAnsi" w:hAnsiTheme="minorHAnsi"/>
            <w:sz w:val="22"/>
            <w:szCs w:val="22"/>
          </w:rPr>
          <w:t>feb.conference@um.si</w:t>
        </w:r>
      </w:hyperlink>
      <w:r w:rsidR="00871E2A" w:rsidRPr="00230BAD">
        <w:rPr>
          <w:rFonts w:asciiTheme="minorHAnsi" w:hAnsiTheme="minorHAnsi"/>
          <w:sz w:val="22"/>
          <w:szCs w:val="22"/>
        </w:rPr>
        <w:t>.</w:t>
      </w:r>
      <w:r w:rsidR="00F35221" w:rsidRPr="00230BAD">
        <w:rPr>
          <w:rFonts w:asciiTheme="minorHAnsi" w:hAnsiTheme="minorHAnsi" w:cstheme="minorHAnsi"/>
          <w:sz w:val="20"/>
          <w:szCs w:val="20"/>
        </w:rPr>
        <w:t xml:space="preserve"> </w:t>
      </w:r>
      <w:r w:rsidR="00871E2A" w:rsidRPr="00230BAD">
        <w:rPr>
          <w:rFonts w:asciiTheme="minorHAnsi" w:hAnsiTheme="minorHAnsi" w:cstheme="minorHAnsi"/>
          <w:sz w:val="22"/>
          <w:szCs w:val="22"/>
        </w:rPr>
        <w:t>The</w:t>
      </w:r>
      <w:r w:rsidR="00847201" w:rsidRPr="00230BAD">
        <w:rPr>
          <w:rFonts w:asciiTheme="minorHAnsi" w:hAnsiTheme="minorHAnsi" w:cstheme="minorHAnsi"/>
          <w:sz w:val="22"/>
          <w:szCs w:val="22"/>
        </w:rPr>
        <w:t xml:space="preserve"> file name should be the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first author’s surname. </w:t>
      </w:r>
      <w:r w:rsidR="00871E2A" w:rsidRPr="00230BAD">
        <w:rPr>
          <w:rFonts w:asciiTheme="minorHAnsi" w:hAnsiTheme="minorHAnsi" w:cstheme="minorHAnsi"/>
          <w:sz w:val="22"/>
          <w:szCs w:val="22"/>
        </w:rPr>
        <w:t>All a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bstracts will be reviewed by the </w:t>
      </w:r>
      <w:r w:rsidR="001A13F5">
        <w:rPr>
          <w:rFonts w:asciiTheme="minorHAnsi" w:hAnsiTheme="minorHAnsi" w:cstheme="minorHAnsi"/>
          <w:sz w:val="22"/>
          <w:szCs w:val="22"/>
        </w:rPr>
        <w:t>conference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 committee</w:t>
      </w:r>
      <w:r w:rsidR="00871E2A" w:rsidRPr="00230BAD">
        <w:rPr>
          <w:rFonts w:asciiTheme="minorHAnsi" w:hAnsiTheme="minorHAnsi" w:cstheme="minorHAnsi"/>
          <w:sz w:val="22"/>
          <w:szCs w:val="22"/>
        </w:rPr>
        <w:t xml:space="preserve"> and the a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uthors will be notified of acceptance by </w:t>
      </w:r>
      <w:r w:rsidR="00185576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455707" w:rsidRPr="00455707">
        <w:rPr>
          <w:rFonts w:asciiTheme="minorHAnsi" w:hAnsiTheme="minorHAnsi" w:cstheme="minorHAnsi"/>
          <w:b/>
          <w:sz w:val="22"/>
          <w:szCs w:val="22"/>
        </w:rPr>
        <w:t>February</w:t>
      </w:r>
      <w:r w:rsidR="003F6A49">
        <w:rPr>
          <w:rFonts w:asciiTheme="minorHAnsi" w:hAnsiTheme="minorHAnsi" w:cstheme="minorHAnsi"/>
          <w:b/>
          <w:sz w:val="22"/>
          <w:szCs w:val="22"/>
        </w:rPr>
        <w:t>,</w:t>
      </w:r>
      <w:r w:rsidR="00455707" w:rsidRPr="004557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5707" w:rsidRPr="003F6A49">
        <w:rPr>
          <w:rFonts w:asciiTheme="minorHAnsi" w:hAnsiTheme="minorHAnsi" w:cstheme="minorHAnsi"/>
          <w:b/>
          <w:sz w:val="22"/>
          <w:szCs w:val="22"/>
        </w:rPr>
        <w:t>2018</w:t>
      </w:r>
      <w:r w:rsidR="00F35221" w:rsidRPr="003F6A49">
        <w:rPr>
          <w:rFonts w:asciiTheme="minorHAnsi" w:hAnsiTheme="minorHAnsi" w:cstheme="minorHAnsi"/>
          <w:sz w:val="22"/>
          <w:szCs w:val="22"/>
        </w:rPr>
        <w:t>.</w:t>
      </w:r>
    </w:p>
    <w:p w:rsidR="00020600" w:rsidRPr="00230BAD" w:rsidRDefault="00020600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5221" w:rsidRPr="00230BAD" w:rsidRDefault="00F35221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BAD">
        <w:rPr>
          <w:rFonts w:asciiTheme="minorHAnsi" w:hAnsiTheme="minorHAnsi" w:cstheme="minorHAnsi"/>
          <w:b/>
          <w:sz w:val="22"/>
          <w:szCs w:val="22"/>
        </w:rPr>
        <w:t>Papers</w:t>
      </w:r>
    </w:p>
    <w:p w:rsidR="001A24A8" w:rsidRDefault="00F35221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The papers of </w:t>
      </w:r>
      <w:r w:rsidR="00956467" w:rsidRPr="00230BAD">
        <w:rPr>
          <w:rFonts w:asciiTheme="minorHAnsi" w:hAnsiTheme="minorHAnsi" w:cstheme="minorHAnsi"/>
          <w:sz w:val="22"/>
          <w:szCs w:val="22"/>
        </w:rPr>
        <w:t>3,000</w:t>
      </w:r>
      <w:r w:rsidR="003A3A47">
        <w:rPr>
          <w:rFonts w:asciiTheme="minorHAnsi" w:hAnsiTheme="minorHAnsi" w:cstheme="minorHAnsi"/>
          <w:sz w:val="22"/>
          <w:szCs w:val="22"/>
        </w:rPr>
        <w:t xml:space="preserve">–4,000 </w:t>
      </w:r>
      <w:r w:rsidRPr="00230BAD">
        <w:rPr>
          <w:rFonts w:asciiTheme="minorHAnsi" w:hAnsiTheme="minorHAnsi" w:cstheme="minorHAnsi"/>
          <w:sz w:val="22"/>
          <w:szCs w:val="22"/>
        </w:rPr>
        <w:t xml:space="preserve">words should be e-mailed to </w:t>
      </w:r>
      <w:hyperlink r:id="rId8" w:history="1">
        <w:r w:rsidR="001A13F5" w:rsidRPr="00144468">
          <w:rPr>
            <w:rStyle w:val="Hyperlink"/>
            <w:rFonts w:asciiTheme="minorHAnsi" w:hAnsiTheme="minorHAnsi" w:cstheme="minorHAnsi"/>
            <w:sz w:val="22"/>
            <w:szCs w:val="22"/>
          </w:rPr>
          <w:t>feb.conferece@um.si</w:t>
        </w:r>
      </w:hyperlink>
      <w:r w:rsidRPr="00230BAD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30BAD">
        <w:rPr>
          <w:rFonts w:asciiTheme="minorHAnsi" w:hAnsiTheme="minorHAnsi" w:cstheme="minorHAnsi"/>
          <w:sz w:val="22"/>
          <w:szCs w:val="22"/>
        </w:rPr>
        <w:t xml:space="preserve">by </w:t>
      </w:r>
      <w:r w:rsidR="003F6A49" w:rsidRPr="003F6A49">
        <w:rPr>
          <w:rFonts w:asciiTheme="minorHAnsi" w:hAnsiTheme="minorHAnsi" w:cstheme="minorHAnsi"/>
          <w:b/>
          <w:sz w:val="22"/>
          <w:szCs w:val="22"/>
        </w:rPr>
        <w:t>1</w:t>
      </w:r>
      <w:r w:rsidRPr="003F6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6A49" w:rsidRPr="003F6A49">
        <w:rPr>
          <w:rFonts w:asciiTheme="minorHAnsi" w:hAnsiTheme="minorHAnsi" w:cstheme="minorHAnsi"/>
          <w:b/>
          <w:sz w:val="22"/>
          <w:szCs w:val="22"/>
        </w:rPr>
        <w:t>May</w:t>
      </w:r>
      <w:r w:rsidR="00455707" w:rsidRPr="003F6A49">
        <w:rPr>
          <w:rFonts w:asciiTheme="minorHAnsi" w:hAnsiTheme="minorHAnsi" w:cstheme="minorHAnsi"/>
          <w:b/>
          <w:sz w:val="22"/>
          <w:szCs w:val="22"/>
        </w:rPr>
        <w:t>,</w:t>
      </w:r>
      <w:r w:rsidR="006E1584" w:rsidRPr="003F6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6A49">
        <w:rPr>
          <w:rFonts w:asciiTheme="minorHAnsi" w:hAnsiTheme="minorHAnsi" w:cstheme="minorHAnsi"/>
          <w:b/>
          <w:sz w:val="22"/>
          <w:szCs w:val="22"/>
        </w:rPr>
        <w:t>201</w:t>
      </w:r>
      <w:r w:rsidR="00F03240" w:rsidRPr="003F6A49">
        <w:rPr>
          <w:rFonts w:asciiTheme="minorHAnsi" w:hAnsiTheme="minorHAnsi" w:cstheme="minorHAnsi"/>
          <w:b/>
          <w:sz w:val="22"/>
          <w:szCs w:val="22"/>
        </w:rPr>
        <w:t>8</w:t>
      </w:r>
      <w:r w:rsidR="006673B9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6904D3" w:rsidRPr="00230BAD">
        <w:rPr>
          <w:rFonts w:asciiTheme="minorHAnsi" w:hAnsiTheme="minorHAnsi" w:cstheme="minorHAnsi"/>
          <w:sz w:val="22"/>
          <w:szCs w:val="22"/>
        </w:rPr>
        <w:t xml:space="preserve">at the latest </w:t>
      </w:r>
      <w:r w:rsidRPr="00230BAD">
        <w:rPr>
          <w:rFonts w:asciiTheme="minorHAnsi" w:hAnsiTheme="minorHAnsi" w:cstheme="minorHAnsi"/>
          <w:sz w:val="22"/>
          <w:szCs w:val="22"/>
        </w:rPr>
        <w:t>(</w:t>
      </w:r>
      <w:r w:rsidR="006E1584" w:rsidRPr="00230BAD">
        <w:rPr>
          <w:rFonts w:asciiTheme="minorHAnsi" w:hAnsiTheme="minorHAnsi" w:cstheme="minorHAnsi"/>
          <w:sz w:val="22"/>
          <w:szCs w:val="22"/>
        </w:rPr>
        <w:t xml:space="preserve">the </w:t>
      </w:r>
      <w:r w:rsidRPr="00230BAD">
        <w:rPr>
          <w:rFonts w:asciiTheme="minorHAnsi" w:hAnsiTheme="minorHAnsi" w:cstheme="minorHAnsi"/>
          <w:sz w:val="22"/>
          <w:szCs w:val="22"/>
        </w:rPr>
        <w:t xml:space="preserve">papers </w:t>
      </w:r>
      <w:r w:rsidR="00871E2A" w:rsidRPr="00230BAD">
        <w:rPr>
          <w:rFonts w:asciiTheme="minorHAnsi" w:hAnsiTheme="minorHAnsi" w:cstheme="minorHAnsi"/>
          <w:sz w:val="22"/>
          <w:szCs w:val="22"/>
        </w:rPr>
        <w:t>should be</w:t>
      </w:r>
      <w:r w:rsidRPr="00230BAD">
        <w:rPr>
          <w:rFonts w:asciiTheme="minorHAnsi" w:hAnsiTheme="minorHAnsi" w:cstheme="minorHAnsi"/>
          <w:sz w:val="22"/>
          <w:szCs w:val="22"/>
        </w:rPr>
        <w:t xml:space="preserve"> written in English</w:t>
      </w:r>
      <w:r w:rsidR="006E1584" w:rsidRPr="00230BAD">
        <w:rPr>
          <w:rFonts w:asciiTheme="minorHAnsi" w:hAnsiTheme="minorHAnsi" w:cstheme="minorHAnsi"/>
          <w:sz w:val="22"/>
          <w:szCs w:val="22"/>
        </w:rPr>
        <w:t xml:space="preserve"> and should be proofread</w:t>
      </w:r>
      <w:r w:rsidRPr="00230BAD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031560" w:rsidRDefault="00031560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3A47" w:rsidRDefault="00BF7BDD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paper template</w:t>
      </w:r>
      <w:r w:rsidR="0030179F" w:rsidRPr="00230BAD">
        <w:rPr>
          <w:rFonts w:asciiTheme="minorHAnsi" w:hAnsiTheme="minorHAnsi" w:cstheme="minorHAnsi"/>
          <w:sz w:val="22"/>
          <w:szCs w:val="22"/>
        </w:rPr>
        <w:t xml:space="preserve"> will be sent to you upon the acceptance of the abstract. 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Please note that the papers will not be accepted unless the </w:t>
      </w:r>
      <w:r w:rsidR="006E1584" w:rsidRPr="00230BAD">
        <w:rPr>
          <w:rFonts w:asciiTheme="minorHAnsi" w:hAnsiTheme="minorHAnsi" w:cstheme="minorHAnsi"/>
          <w:sz w:val="22"/>
          <w:szCs w:val="22"/>
        </w:rPr>
        <w:t>speaker</w:t>
      </w:r>
      <w:r w:rsidR="003A3A47">
        <w:rPr>
          <w:rFonts w:asciiTheme="minorHAnsi" w:hAnsiTheme="minorHAnsi" w:cstheme="minorHAnsi"/>
          <w:sz w:val="22"/>
          <w:szCs w:val="22"/>
        </w:rPr>
        <w:t>(</w:t>
      </w:r>
      <w:r w:rsidR="00F35221" w:rsidRPr="00230BAD">
        <w:rPr>
          <w:rFonts w:asciiTheme="minorHAnsi" w:hAnsiTheme="minorHAnsi" w:cstheme="minorHAnsi"/>
          <w:sz w:val="22"/>
          <w:szCs w:val="22"/>
        </w:rPr>
        <w:t>s</w:t>
      </w:r>
      <w:r w:rsidR="003A3A47">
        <w:rPr>
          <w:rFonts w:asciiTheme="minorHAnsi" w:hAnsiTheme="minorHAnsi" w:cstheme="minorHAnsi"/>
          <w:sz w:val="22"/>
          <w:szCs w:val="22"/>
        </w:rPr>
        <w:t>)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A3A47">
        <w:rPr>
          <w:rFonts w:asciiTheme="minorHAnsi" w:hAnsiTheme="minorHAnsi" w:cstheme="minorHAnsi"/>
          <w:sz w:val="22"/>
          <w:szCs w:val="22"/>
        </w:rPr>
        <w:t>has(</w:t>
      </w:r>
      <w:proofErr w:type="gramEnd"/>
      <w:r w:rsidR="003A3A47">
        <w:rPr>
          <w:rFonts w:asciiTheme="minorHAnsi" w:hAnsiTheme="minorHAnsi" w:cstheme="minorHAnsi"/>
          <w:sz w:val="22"/>
          <w:szCs w:val="22"/>
        </w:rPr>
        <w:t>have)</w:t>
      </w:r>
      <w:r w:rsidR="00F35221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956467" w:rsidRPr="00230BAD">
        <w:rPr>
          <w:rFonts w:asciiTheme="minorHAnsi" w:hAnsiTheme="minorHAnsi" w:cstheme="minorHAnsi"/>
          <w:sz w:val="22"/>
          <w:szCs w:val="22"/>
        </w:rPr>
        <w:t xml:space="preserve">registered for the </w:t>
      </w:r>
      <w:r w:rsidR="00031560">
        <w:rPr>
          <w:rFonts w:asciiTheme="minorHAnsi" w:hAnsiTheme="minorHAnsi" w:cstheme="minorHAnsi"/>
          <w:sz w:val="22"/>
          <w:szCs w:val="22"/>
        </w:rPr>
        <w:t>conference</w:t>
      </w:r>
      <w:r w:rsidR="00956467" w:rsidRPr="00230BA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3A47" w:rsidRDefault="003A3A47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6467" w:rsidRPr="00230BAD" w:rsidRDefault="00871E2A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0BAD">
        <w:rPr>
          <w:rFonts w:asciiTheme="minorHAnsi" w:hAnsiTheme="minorHAnsi" w:cstheme="minorHAnsi"/>
          <w:sz w:val="22"/>
          <w:szCs w:val="22"/>
        </w:rPr>
        <w:t xml:space="preserve">All </w:t>
      </w:r>
      <w:r w:rsidR="00BF7BDD">
        <w:rPr>
          <w:rFonts w:asciiTheme="minorHAnsi" w:hAnsiTheme="minorHAnsi" w:cstheme="minorHAnsi"/>
          <w:sz w:val="22"/>
          <w:szCs w:val="22"/>
        </w:rPr>
        <w:t xml:space="preserve">accepted abstracts will be published in a Book of Abstracts and all </w:t>
      </w:r>
      <w:r w:rsidRPr="00230BAD">
        <w:rPr>
          <w:rFonts w:asciiTheme="minorHAnsi" w:hAnsiTheme="minorHAnsi" w:cstheme="minorHAnsi"/>
          <w:sz w:val="22"/>
          <w:szCs w:val="22"/>
        </w:rPr>
        <w:t>accepted</w:t>
      </w:r>
      <w:r w:rsidR="00A85CF3">
        <w:rPr>
          <w:rFonts w:asciiTheme="minorHAnsi" w:hAnsiTheme="minorHAnsi" w:cstheme="minorHAnsi"/>
          <w:sz w:val="22"/>
          <w:szCs w:val="22"/>
        </w:rPr>
        <w:t xml:space="preserve"> papers will be published in</w:t>
      </w:r>
      <w:r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BF7BDD">
        <w:rPr>
          <w:rFonts w:asciiTheme="minorHAnsi" w:hAnsiTheme="minorHAnsi" w:cstheme="minorHAnsi"/>
          <w:sz w:val="22"/>
          <w:szCs w:val="22"/>
        </w:rPr>
        <w:t>C</w:t>
      </w:r>
      <w:r w:rsidR="00031560">
        <w:rPr>
          <w:rFonts w:asciiTheme="minorHAnsi" w:hAnsiTheme="minorHAnsi" w:cstheme="minorHAnsi"/>
          <w:sz w:val="22"/>
          <w:szCs w:val="22"/>
        </w:rPr>
        <w:t>onference</w:t>
      </w:r>
      <w:r w:rsidR="0030179F" w:rsidRPr="00230BAD">
        <w:rPr>
          <w:rFonts w:asciiTheme="minorHAnsi" w:hAnsiTheme="minorHAnsi" w:cstheme="minorHAnsi"/>
          <w:sz w:val="22"/>
          <w:szCs w:val="22"/>
        </w:rPr>
        <w:t xml:space="preserve"> </w:t>
      </w:r>
      <w:r w:rsidR="00BF7BDD">
        <w:rPr>
          <w:rFonts w:asciiTheme="minorHAnsi" w:hAnsiTheme="minorHAnsi" w:cstheme="minorHAnsi"/>
          <w:sz w:val="22"/>
          <w:szCs w:val="22"/>
        </w:rPr>
        <w:t>P</w:t>
      </w:r>
      <w:r w:rsidRPr="00230BAD">
        <w:rPr>
          <w:rFonts w:asciiTheme="minorHAnsi" w:hAnsiTheme="minorHAnsi" w:cstheme="minorHAnsi"/>
          <w:sz w:val="22"/>
          <w:szCs w:val="22"/>
        </w:rPr>
        <w:t>roceedings</w:t>
      </w:r>
      <w:r w:rsidR="00031560">
        <w:rPr>
          <w:rFonts w:asciiTheme="minorHAnsi" w:hAnsiTheme="minorHAnsi" w:cstheme="minorHAnsi"/>
          <w:sz w:val="22"/>
          <w:szCs w:val="22"/>
        </w:rPr>
        <w:t xml:space="preserve"> via the University of Maribor Press</w:t>
      </w:r>
      <w:r w:rsidRPr="00230BA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4A79" w:rsidRDefault="00D04A79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A3A47" w:rsidTr="003A3A4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A3A47" w:rsidRPr="003A3A47" w:rsidRDefault="003A3A4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A47">
              <w:rPr>
                <w:rFonts w:asciiTheme="minorHAnsi" w:hAnsiTheme="minorHAnsi" w:cstheme="minorHAnsi"/>
                <w:b/>
                <w:sz w:val="22"/>
                <w:szCs w:val="22"/>
              </w:rPr>
              <w:t>Key dates:</w:t>
            </w:r>
          </w:p>
        </w:tc>
      </w:tr>
      <w:tr w:rsidR="003A3A47" w:rsidTr="003A3A47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A47" w:rsidRDefault="003A3A4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A3A47" w:rsidRDefault="001A13F5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November 2017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A47" w:rsidRDefault="003A3A4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3A47" w:rsidRDefault="003A3A4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BAD">
              <w:rPr>
                <w:rFonts w:asciiTheme="minorHAnsi" w:hAnsiTheme="minorHAnsi" w:cstheme="minorHAnsi"/>
                <w:sz w:val="22"/>
                <w:szCs w:val="22"/>
              </w:rPr>
              <w:t>Call for abstracts opens</w:t>
            </w:r>
          </w:p>
        </w:tc>
      </w:tr>
      <w:tr w:rsidR="003A3A47" w:rsidTr="003A3A47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A47" w:rsidRPr="001A13F5" w:rsidRDefault="000D33A6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33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22 </w:t>
            </w:r>
            <w:r w:rsidR="00F03240" w:rsidRPr="000D33A6">
              <w:rPr>
                <w:rFonts w:asciiTheme="minorHAnsi" w:hAnsiTheme="minorHAnsi" w:cstheme="minorHAnsi"/>
                <w:b/>
                <w:sz w:val="22"/>
                <w:szCs w:val="22"/>
              </w:rPr>
              <w:t>January</w:t>
            </w:r>
            <w:r w:rsidR="0045570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03240" w:rsidRPr="000D33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2018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A47" w:rsidRDefault="003A3A4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BAD">
              <w:rPr>
                <w:rFonts w:asciiTheme="minorHAnsi" w:hAnsiTheme="minorHAnsi" w:cstheme="minorHAnsi"/>
                <w:sz w:val="22"/>
                <w:szCs w:val="22"/>
              </w:rPr>
              <w:t>Deadline for abstracts submission</w:t>
            </w:r>
          </w:p>
        </w:tc>
      </w:tr>
      <w:tr w:rsidR="003A3A47" w:rsidTr="003A3A47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A47" w:rsidRPr="001A13F5" w:rsidRDefault="00455707" w:rsidP="004557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55707">
              <w:rPr>
                <w:rFonts w:asciiTheme="minorHAnsi" w:hAnsiTheme="minorHAnsi" w:cstheme="minorHAnsi"/>
                <w:b/>
                <w:sz w:val="22"/>
                <w:szCs w:val="22"/>
              </w:rPr>
              <w:t>5 Februa</w:t>
            </w:r>
            <w:r w:rsidR="00F03240" w:rsidRPr="00455707">
              <w:rPr>
                <w:rFonts w:asciiTheme="minorHAnsi" w:hAnsiTheme="minorHAnsi" w:cstheme="minorHAnsi"/>
                <w:b/>
                <w:sz w:val="22"/>
                <w:szCs w:val="22"/>
              </w:rPr>
              <w:t>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03240" w:rsidRPr="004557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2018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A47" w:rsidRDefault="003A3A4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BAD">
              <w:rPr>
                <w:rFonts w:asciiTheme="minorHAnsi" w:hAnsiTheme="minorHAnsi" w:cstheme="minorHAnsi"/>
                <w:sz w:val="22"/>
                <w:szCs w:val="22"/>
              </w:rPr>
              <w:t>Notification abstract acceptance</w:t>
            </w:r>
          </w:p>
        </w:tc>
      </w:tr>
      <w:tr w:rsidR="003A3A47" w:rsidTr="003A3A4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A47" w:rsidRPr="003F6A49" w:rsidRDefault="00455707" w:rsidP="003A3A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A49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F03240" w:rsidRPr="003F6A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</w:t>
            </w:r>
            <w:r w:rsidRPr="003F6A4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03240" w:rsidRPr="003F6A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2018</w:t>
            </w:r>
          </w:p>
          <w:p w:rsidR="003F6A49" w:rsidRPr="001A13F5" w:rsidRDefault="003F6A49" w:rsidP="003A3A4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F6A49">
              <w:rPr>
                <w:rFonts w:asciiTheme="minorHAnsi" w:hAnsiTheme="minorHAnsi" w:cstheme="minorHAnsi"/>
                <w:b/>
                <w:sz w:val="22"/>
                <w:szCs w:val="22"/>
              </w:rPr>
              <w:t>1 May, 2018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07" w:rsidRDefault="00455707" w:rsidP="004557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31560">
              <w:rPr>
                <w:rFonts w:asciiTheme="minorHAnsi" w:hAnsiTheme="minorHAnsi" w:cstheme="minorHAnsi"/>
                <w:sz w:val="22"/>
                <w:szCs w:val="22"/>
              </w:rPr>
              <w:t>egistration for the conference</w:t>
            </w:r>
            <w:r w:rsidRPr="0023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A3A47" w:rsidRDefault="00455707" w:rsidP="0003156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BAD">
              <w:rPr>
                <w:rFonts w:asciiTheme="minorHAnsi" w:hAnsiTheme="minorHAnsi" w:cstheme="minorHAnsi"/>
                <w:sz w:val="22"/>
                <w:szCs w:val="22"/>
              </w:rPr>
              <w:t>Deadline for full papers submission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F35221" w:rsidRPr="003A3A47" w:rsidRDefault="00F35221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3A47" w:rsidRDefault="003A3A47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04A79" w:rsidRDefault="00D04A79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4A79" w:rsidTr="00D82E90">
        <w:tc>
          <w:tcPr>
            <w:tcW w:w="9212" w:type="dxa"/>
            <w:shd w:val="clear" w:color="auto" w:fill="B8CCE4" w:themeFill="accent1" w:themeFillTint="66"/>
          </w:tcPr>
          <w:p w:rsidR="00D04A79" w:rsidRDefault="007F292B" w:rsidP="003A3A47">
            <w:pPr>
              <w:spacing w:line="276" w:lineRule="auto"/>
              <w:jc w:val="both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 more information</w:t>
            </w:r>
            <w:r w:rsidR="00D04A79" w:rsidRPr="00D04A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please contact:</w:t>
            </w:r>
          </w:p>
        </w:tc>
      </w:tr>
      <w:tr w:rsidR="00D04A79" w:rsidTr="00D82E90">
        <w:tc>
          <w:tcPr>
            <w:tcW w:w="9212" w:type="dxa"/>
          </w:tcPr>
          <w:p w:rsidR="00D04A79" w:rsidRPr="00B3445E" w:rsidRDefault="00D04A79" w:rsidP="003A3A4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 xml:space="preserve">mag. </w:t>
            </w:r>
            <w:proofErr w:type="spellStart"/>
            <w:r w:rsidRPr="00B3445E">
              <w:rPr>
                <w:rFonts w:asciiTheme="minorHAnsi" w:hAnsiTheme="minorHAnsi" w:cstheme="minorHAnsi"/>
                <w:sz w:val="22"/>
              </w:rPr>
              <w:t>Nataša</w:t>
            </w:r>
            <w:proofErr w:type="spellEnd"/>
            <w:r w:rsidRPr="00B3445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3445E">
              <w:rPr>
                <w:rFonts w:asciiTheme="minorHAnsi" w:hAnsiTheme="minorHAnsi" w:cstheme="minorHAnsi"/>
                <w:sz w:val="22"/>
              </w:rPr>
              <w:t>Gajšt</w:t>
            </w:r>
            <w:proofErr w:type="spellEnd"/>
          </w:p>
          <w:p w:rsidR="00D04A79" w:rsidRPr="00B3445E" w:rsidRDefault="00D04A79" w:rsidP="003A3A4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Faculty of Economics and Business</w:t>
            </w:r>
          </w:p>
          <w:p w:rsidR="00D04A79" w:rsidRPr="00B3445E" w:rsidRDefault="00D04A79" w:rsidP="003A3A4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3445E">
              <w:rPr>
                <w:rFonts w:asciiTheme="minorHAnsi" w:hAnsiTheme="minorHAnsi" w:cstheme="minorHAnsi"/>
                <w:sz w:val="22"/>
              </w:rPr>
              <w:t>Razlagova</w:t>
            </w:r>
            <w:proofErr w:type="spellEnd"/>
            <w:r w:rsidRPr="00B3445E">
              <w:rPr>
                <w:rFonts w:asciiTheme="minorHAnsi" w:hAnsiTheme="minorHAnsi" w:cstheme="minorHAnsi"/>
                <w:sz w:val="22"/>
              </w:rPr>
              <w:t xml:space="preserve"> 14, 2000 Maribor, Slovenia</w:t>
            </w:r>
          </w:p>
          <w:p w:rsidR="00D04A79" w:rsidRPr="00B3445E" w:rsidRDefault="00D04A79" w:rsidP="003A3A4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Tel.: +386 2 22 90 225</w:t>
            </w:r>
          </w:p>
          <w:p w:rsidR="00D04A79" w:rsidRPr="00B3445E" w:rsidRDefault="00D04A79" w:rsidP="003A3A4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Fax: +386 2 22 90 217</w:t>
            </w:r>
          </w:p>
          <w:p w:rsidR="00D04A79" w:rsidRDefault="00D04A79" w:rsidP="003A3A47">
            <w:pPr>
              <w:spacing w:line="276" w:lineRule="auto"/>
              <w:jc w:val="both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 xml:space="preserve">E-mail: </w:t>
            </w:r>
            <w:hyperlink r:id="rId9" w:history="1">
              <w:r w:rsidR="001A13F5" w:rsidRPr="00144468">
                <w:rPr>
                  <w:rStyle w:val="Hyperlink"/>
                  <w:rFonts w:asciiTheme="minorHAnsi" w:hAnsiTheme="minorHAnsi" w:cstheme="minorHAnsi"/>
                  <w:sz w:val="22"/>
                </w:rPr>
                <w:t>feb.conference@um.si</w:t>
              </w:r>
            </w:hyperlink>
            <w:r w:rsidR="001A13F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D04A79" w:rsidRDefault="00D04A79" w:rsidP="003A3A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D7794" w:rsidRDefault="00214024" w:rsidP="003A3A47">
      <w:pPr>
        <w:shd w:val="clear" w:color="auto" w:fill="FFFFFF" w:themeFill="background1"/>
        <w:spacing w:line="276" w:lineRule="auto"/>
      </w:pPr>
    </w:p>
    <w:sectPr w:rsidR="004D7794" w:rsidSect="003A3A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01F"/>
    <w:multiLevelType w:val="hybridMultilevel"/>
    <w:tmpl w:val="98742BBE"/>
    <w:lvl w:ilvl="0" w:tplc="DF5662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81F61"/>
    <w:multiLevelType w:val="hybridMultilevel"/>
    <w:tmpl w:val="2A2E92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3F16D4"/>
    <w:multiLevelType w:val="hybridMultilevel"/>
    <w:tmpl w:val="EAD489F2"/>
    <w:lvl w:ilvl="0" w:tplc="ACE417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5C0E09"/>
    <w:multiLevelType w:val="hybridMultilevel"/>
    <w:tmpl w:val="42EA8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42AC1"/>
    <w:multiLevelType w:val="hybridMultilevel"/>
    <w:tmpl w:val="F70C0B18"/>
    <w:lvl w:ilvl="0" w:tplc="DF5662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8F7450"/>
    <w:multiLevelType w:val="hybridMultilevel"/>
    <w:tmpl w:val="F8F09AD8"/>
    <w:lvl w:ilvl="0" w:tplc="149AC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21"/>
    <w:rsid w:val="00003342"/>
    <w:rsid w:val="00020600"/>
    <w:rsid w:val="00031560"/>
    <w:rsid w:val="000A3BF9"/>
    <w:rsid w:val="000C1B83"/>
    <w:rsid w:val="000D33A6"/>
    <w:rsid w:val="000D3B6E"/>
    <w:rsid w:val="000D4C06"/>
    <w:rsid w:val="000F070C"/>
    <w:rsid w:val="00185576"/>
    <w:rsid w:val="001A13F5"/>
    <w:rsid w:val="001A24A8"/>
    <w:rsid w:val="001E33D3"/>
    <w:rsid w:val="001E587E"/>
    <w:rsid w:val="00214024"/>
    <w:rsid w:val="00230BAD"/>
    <w:rsid w:val="00290052"/>
    <w:rsid w:val="002A2537"/>
    <w:rsid w:val="002F4934"/>
    <w:rsid w:val="0030179F"/>
    <w:rsid w:val="0030229D"/>
    <w:rsid w:val="003A3A47"/>
    <w:rsid w:val="003B7856"/>
    <w:rsid w:val="003D5925"/>
    <w:rsid w:val="003F6A49"/>
    <w:rsid w:val="00414F32"/>
    <w:rsid w:val="0042147E"/>
    <w:rsid w:val="00455707"/>
    <w:rsid w:val="004B1BAC"/>
    <w:rsid w:val="006034CB"/>
    <w:rsid w:val="006673B9"/>
    <w:rsid w:val="006904D3"/>
    <w:rsid w:val="006A0EC4"/>
    <w:rsid w:val="006A597F"/>
    <w:rsid w:val="006E1584"/>
    <w:rsid w:val="00734BB6"/>
    <w:rsid w:val="00765FF9"/>
    <w:rsid w:val="00775798"/>
    <w:rsid w:val="007773C7"/>
    <w:rsid w:val="007A5FAA"/>
    <w:rsid w:val="007A68E8"/>
    <w:rsid w:val="007F292B"/>
    <w:rsid w:val="0080296A"/>
    <w:rsid w:val="00832A55"/>
    <w:rsid w:val="00847201"/>
    <w:rsid w:val="00854697"/>
    <w:rsid w:val="00861613"/>
    <w:rsid w:val="00871E2A"/>
    <w:rsid w:val="0088335A"/>
    <w:rsid w:val="00906D40"/>
    <w:rsid w:val="00922284"/>
    <w:rsid w:val="00956467"/>
    <w:rsid w:val="00981A93"/>
    <w:rsid w:val="009A7C1D"/>
    <w:rsid w:val="00A1310F"/>
    <w:rsid w:val="00A55B6A"/>
    <w:rsid w:val="00A85CF3"/>
    <w:rsid w:val="00AF08BC"/>
    <w:rsid w:val="00BA64E7"/>
    <w:rsid w:val="00BD30A4"/>
    <w:rsid w:val="00BF7BDD"/>
    <w:rsid w:val="00C74144"/>
    <w:rsid w:val="00C92591"/>
    <w:rsid w:val="00D04A79"/>
    <w:rsid w:val="00D26E23"/>
    <w:rsid w:val="00D32780"/>
    <w:rsid w:val="00DC2935"/>
    <w:rsid w:val="00DF58D4"/>
    <w:rsid w:val="00E42751"/>
    <w:rsid w:val="00E83216"/>
    <w:rsid w:val="00E94668"/>
    <w:rsid w:val="00EA08D1"/>
    <w:rsid w:val="00EF0328"/>
    <w:rsid w:val="00EF741F"/>
    <w:rsid w:val="00F03240"/>
    <w:rsid w:val="00F35221"/>
    <w:rsid w:val="00F52AB3"/>
    <w:rsid w:val="00F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l-SI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522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35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/>
    </w:rPr>
  </w:style>
  <w:style w:type="character" w:customStyle="1" w:styleId="HTMLPreformattedChar">
    <w:name w:val="HTML Preformatted Char"/>
    <w:basedOn w:val="DefaultParagraphFont"/>
    <w:link w:val="HTMLPreformatted"/>
    <w:rsid w:val="00F35221"/>
    <w:rPr>
      <w:rFonts w:ascii="Courier New" w:eastAsia="Times New Roman" w:hAnsi="Courier New" w:cs="Courier New"/>
      <w:sz w:val="20"/>
      <w:lang w:eastAsia="sl-SI" w:bidi="ar-SA"/>
    </w:rPr>
  </w:style>
  <w:style w:type="paragraph" w:styleId="NoSpacing">
    <w:name w:val="No Spacing"/>
    <w:uiPriority w:val="1"/>
    <w:qFormat/>
    <w:rsid w:val="0083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 w:bidi="ar-SA"/>
    </w:rPr>
  </w:style>
  <w:style w:type="paragraph" w:styleId="ListParagraph">
    <w:name w:val="List Paragraph"/>
    <w:basedOn w:val="Normal"/>
    <w:uiPriority w:val="34"/>
    <w:qFormat/>
    <w:rsid w:val="00A1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8"/>
    <w:rPr>
      <w:rFonts w:ascii="Tahoma" w:eastAsia="Times New Roman" w:hAnsi="Tahoma" w:cs="Tahoma"/>
      <w:sz w:val="16"/>
      <w:szCs w:val="16"/>
      <w:lang w:val="en-GB" w:eastAsia="sl-SI" w:bidi="ar-SA"/>
    </w:rPr>
  </w:style>
  <w:style w:type="table" w:styleId="TableGrid">
    <w:name w:val="Table Grid"/>
    <w:basedOn w:val="TableNormal"/>
    <w:uiPriority w:val="59"/>
    <w:rsid w:val="00D04A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1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l-SI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522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35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/>
    </w:rPr>
  </w:style>
  <w:style w:type="character" w:customStyle="1" w:styleId="HTMLPreformattedChar">
    <w:name w:val="HTML Preformatted Char"/>
    <w:basedOn w:val="DefaultParagraphFont"/>
    <w:link w:val="HTMLPreformatted"/>
    <w:rsid w:val="00F35221"/>
    <w:rPr>
      <w:rFonts w:ascii="Courier New" w:eastAsia="Times New Roman" w:hAnsi="Courier New" w:cs="Courier New"/>
      <w:sz w:val="20"/>
      <w:lang w:eastAsia="sl-SI" w:bidi="ar-SA"/>
    </w:rPr>
  </w:style>
  <w:style w:type="paragraph" w:styleId="NoSpacing">
    <w:name w:val="No Spacing"/>
    <w:uiPriority w:val="1"/>
    <w:qFormat/>
    <w:rsid w:val="0083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 w:bidi="ar-SA"/>
    </w:rPr>
  </w:style>
  <w:style w:type="paragraph" w:styleId="ListParagraph">
    <w:name w:val="List Paragraph"/>
    <w:basedOn w:val="Normal"/>
    <w:uiPriority w:val="34"/>
    <w:qFormat/>
    <w:rsid w:val="00A1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8"/>
    <w:rPr>
      <w:rFonts w:ascii="Tahoma" w:eastAsia="Times New Roman" w:hAnsi="Tahoma" w:cs="Tahoma"/>
      <w:sz w:val="16"/>
      <w:szCs w:val="16"/>
      <w:lang w:val="en-GB" w:eastAsia="sl-SI" w:bidi="ar-SA"/>
    </w:rPr>
  </w:style>
  <w:style w:type="table" w:styleId="TableGrid">
    <w:name w:val="Table Grid"/>
    <w:basedOn w:val="TableNormal"/>
    <w:uiPriority w:val="59"/>
    <w:rsid w:val="00D04A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1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b.conferece@um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b.conference@u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b.conference@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Tina</cp:lastModifiedBy>
  <cp:revision>2</cp:revision>
  <cp:lastPrinted>2017-12-22T07:06:00Z</cp:lastPrinted>
  <dcterms:created xsi:type="dcterms:W3CDTF">2017-12-22T07:07:00Z</dcterms:created>
  <dcterms:modified xsi:type="dcterms:W3CDTF">2017-12-22T07:07:00Z</dcterms:modified>
</cp:coreProperties>
</file>