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2776A" w:rsidRPr="00A278AA">
        <w:trPr>
          <w:tblCellSpacing w:w="60" w:type="dxa"/>
        </w:trPr>
        <w:tc>
          <w:tcPr>
            <w:tcW w:w="1200" w:type="pct"/>
            <w:shd w:val="clear" w:color="auto" w:fill="E7F0F9"/>
          </w:tcPr>
          <w:p w:rsidR="0077119B" w:rsidRPr="00A278AA" w:rsidRDefault="00A55912">
            <w:pPr>
              <w:spacing w:after="0" w:line="240" w:lineRule="auto"/>
              <w:rPr>
                <w:sz w:val="22"/>
              </w:rPr>
            </w:pPr>
            <w:r w:rsidRPr="00A278AA">
              <w:rPr>
                <w:b/>
                <w:sz w:val="22"/>
              </w:rPr>
              <w:t>PRKP broj</w:t>
            </w:r>
          </w:p>
        </w:tc>
        <w:tc>
          <w:tcPr>
            <w:tcW w:w="0" w:type="auto"/>
            <w:shd w:val="clear" w:color="auto" w:fill="E7F0F9"/>
          </w:tcPr>
          <w:p w:rsidR="0077119B" w:rsidRPr="00A278AA" w:rsidRDefault="00A55912">
            <w:pPr>
              <w:spacing w:after="0" w:line="240" w:lineRule="auto"/>
              <w:rPr>
                <w:sz w:val="22"/>
              </w:rPr>
            </w:pPr>
            <w:r w:rsidRPr="00A278AA">
              <w:rPr>
                <w:sz w:val="22"/>
              </w:rPr>
              <w:t>48267</w:t>
            </w:r>
          </w:p>
        </w:tc>
      </w:tr>
      <w:tr w:rsidR="00E2776A" w:rsidRPr="00A278AA">
        <w:trPr>
          <w:tblCellSpacing w:w="60" w:type="dxa"/>
        </w:trPr>
        <w:tc>
          <w:tcPr>
            <w:tcW w:w="1200" w:type="pct"/>
            <w:shd w:val="clear" w:color="auto" w:fill="E7F0F9"/>
          </w:tcPr>
          <w:p w:rsidR="0077119B" w:rsidRPr="00A278AA" w:rsidRDefault="00A55912">
            <w:pPr>
              <w:spacing w:after="0" w:line="240" w:lineRule="auto"/>
              <w:rPr>
                <w:sz w:val="22"/>
              </w:rPr>
            </w:pPr>
            <w:r w:rsidRPr="00A278AA">
              <w:rPr>
                <w:b/>
                <w:sz w:val="22"/>
              </w:rPr>
              <w:t>Naziv obveznika</w:t>
            </w:r>
          </w:p>
        </w:tc>
        <w:tc>
          <w:tcPr>
            <w:tcW w:w="0" w:type="auto"/>
            <w:shd w:val="clear" w:color="auto" w:fill="E7F0F9"/>
          </w:tcPr>
          <w:p w:rsidR="0077119B" w:rsidRPr="00A278AA" w:rsidRDefault="00A55912">
            <w:pPr>
              <w:spacing w:after="0" w:line="240" w:lineRule="auto"/>
              <w:rPr>
                <w:sz w:val="22"/>
              </w:rPr>
            </w:pPr>
            <w:r w:rsidRPr="00A278AA">
              <w:rPr>
                <w:sz w:val="22"/>
              </w:rPr>
              <w:t>SVEUČILIŠTE SJEVER</w:t>
            </w:r>
          </w:p>
        </w:tc>
      </w:tr>
      <w:tr w:rsidR="00E2776A" w:rsidRPr="00A278AA">
        <w:trPr>
          <w:tblCellSpacing w:w="60" w:type="dxa"/>
        </w:trPr>
        <w:tc>
          <w:tcPr>
            <w:tcW w:w="1200" w:type="pct"/>
            <w:shd w:val="clear" w:color="auto" w:fill="E7F0F9"/>
          </w:tcPr>
          <w:p w:rsidR="0077119B" w:rsidRPr="00A278AA" w:rsidRDefault="00A55912">
            <w:pPr>
              <w:spacing w:after="0" w:line="240" w:lineRule="auto"/>
              <w:rPr>
                <w:sz w:val="22"/>
              </w:rPr>
            </w:pPr>
            <w:r w:rsidRPr="00A278AA">
              <w:rPr>
                <w:b/>
                <w:sz w:val="22"/>
              </w:rPr>
              <w:t>Razina</w:t>
            </w:r>
          </w:p>
        </w:tc>
        <w:tc>
          <w:tcPr>
            <w:tcW w:w="0" w:type="auto"/>
            <w:shd w:val="clear" w:color="auto" w:fill="E7F0F9"/>
          </w:tcPr>
          <w:p w:rsidR="0077119B" w:rsidRPr="00A278AA" w:rsidRDefault="00A55912">
            <w:pPr>
              <w:spacing w:after="0" w:line="240" w:lineRule="auto"/>
              <w:rPr>
                <w:sz w:val="22"/>
              </w:rPr>
            </w:pPr>
            <w:r w:rsidRPr="00A278AA">
              <w:rPr>
                <w:sz w:val="22"/>
              </w:rPr>
              <w:t>11</w:t>
            </w:r>
          </w:p>
        </w:tc>
      </w:tr>
    </w:tbl>
    <w:p w:rsidR="0077119B" w:rsidRPr="00A278AA" w:rsidRDefault="0077119B">
      <w:pPr>
        <w:rPr>
          <w:color w:val="FF0000"/>
          <w:sz w:val="22"/>
        </w:rPr>
      </w:pPr>
    </w:p>
    <w:p w:rsidR="0077119B" w:rsidRPr="00EB5BDE" w:rsidRDefault="00A55912" w:rsidP="00A278AA">
      <w:pPr>
        <w:spacing w:after="0" w:line="240" w:lineRule="auto"/>
        <w:jc w:val="center"/>
        <w:rPr>
          <w:sz w:val="22"/>
        </w:rPr>
      </w:pPr>
      <w:r w:rsidRPr="00EB5BDE">
        <w:rPr>
          <w:b/>
          <w:sz w:val="22"/>
        </w:rPr>
        <w:t>BILJEŠKE UZ FINANCIJSKE IZVJEŠTAJE</w:t>
      </w:r>
    </w:p>
    <w:p w:rsidR="0077119B" w:rsidRPr="00EB5BDE" w:rsidRDefault="00A55912" w:rsidP="00A278AA">
      <w:pPr>
        <w:spacing w:after="0" w:line="240" w:lineRule="auto"/>
        <w:jc w:val="center"/>
        <w:rPr>
          <w:sz w:val="22"/>
        </w:rPr>
      </w:pPr>
      <w:r w:rsidRPr="00EB5BDE">
        <w:rPr>
          <w:b/>
          <w:sz w:val="22"/>
        </w:rPr>
        <w:t>ZA RAZDOBLJE</w:t>
      </w:r>
    </w:p>
    <w:p w:rsidR="0077119B" w:rsidRPr="00EB5BDE" w:rsidRDefault="00A55912" w:rsidP="00EB5BDE">
      <w:pPr>
        <w:spacing w:after="0" w:line="240" w:lineRule="auto"/>
        <w:jc w:val="center"/>
        <w:rPr>
          <w:sz w:val="22"/>
        </w:rPr>
      </w:pPr>
      <w:r w:rsidRPr="00EB5BDE">
        <w:rPr>
          <w:b/>
          <w:sz w:val="22"/>
        </w:rPr>
        <w:t>I - X</w:t>
      </w:r>
      <w:r w:rsidR="00A278AA" w:rsidRPr="00EB5BDE">
        <w:rPr>
          <w:b/>
          <w:sz w:val="22"/>
        </w:rPr>
        <w:t>I</w:t>
      </w:r>
      <w:r w:rsidRPr="00EB5BDE">
        <w:rPr>
          <w:b/>
          <w:sz w:val="22"/>
        </w:rPr>
        <w:t xml:space="preserve"> 2025.</w:t>
      </w:r>
    </w:p>
    <w:p w:rsidR="0077119B" w:rsidRPr="00EB5BDE" w:rsidRDefault="00A55912" w:rsidP="00A278AA">
      <w:pPr>
        <w:keepNext/>
        <w:spacing w:line="240" w:lineRule="auto"/>
        <w:jc w:val="center"/>
        <w:rPr>
          <w:sz w:val="22"/>
        </w:rPr>
      </w:pPr>
      <w:r w:rsidRPr="00EB5BDE">
        <w:rPr>
          <w:b/>
          <w:sz w:val="22"/>
        </w:rPr>
        <w:t>Izvještaj o prihodima i rashodima, primicima i izdacima</w:t>
      </w:r>
      <w:r w:rsidRPr="00EB5BDE">
        <w:rPr>
          <w:sz w:val="22"/>
        </w:rPr>
        <w:br/>
      </w:r>
    </w:p>
    <w:p w:rsidR="0077119B" w:rsidRPr="007964F4" w:rsidRDefault="00EB5BDE" w:rsidP="00EB5BDE">
      <w:pPr>
        <w:keepNext/>
        <w:spacing w:line="240" w:lineRule="auto"/>
        <w:jc w:val="both"/>
        <w:rPr>
          <w:b/>
          <w:sz w:val="22"/>
        </w:rPr>
      </w:pPr>
      <w:r w:rsidRPr="00EB5BDE">
        <w:rPr>
          <w:b/>
          <w:sz w:val="22"/>
          <w:highlight w:val="yellow"/>
        </w:rPr>
        <w:t>63 - Pomoći iz inozemstva i od subjekata unutar općeg proračuna</w:t>
      </w:r>
      <w:r>
        <w:rPr>
          <w:b/>
          <w:sz w:val="22"/>
          <w:highlight w:val="yellow"/>
        </w:rPr>
        <w:t xml:space="preserve"> (616.187,84 EUR / 1.117.386,45 </w:t>
      </w:r>
      <w:r w:rsidRPr="007964F4">
        <w:rPr>
          <w:b/>
          <w:sz w:val="22"/>
          <w:highlight w:val="yellow"/>
        </w:rPr>
        <w:t>EUR) – indeks 181,3</w:t>
      </w:r>
    </w:p>
    <w:p w:rsidR="0077119B" w:rsidRDefault="00A55912">
      <w:pPr>
        <w:spacing w:line="240" w:lineRule="auto"/>
        <w:jc w:val="both"/>
        <w:rPr>
          <w:sz w:val="22"/>
        </w:rPr>
      </w:pPr>
      <w:r w:rsidRPr="006F4299">
        <w:rPr>
          <w:sz w:val="22"/>
        </w:rPr>
        <w:t>Skupinu Pomoći od inozemstva i od subjekata unutar općeg proračuna čine tekuće pomoći od inozemnih vlada izvan EU u iznosu 15.208,02 EUR (uplata Sveučilišta u Mostaru za provođenje nastave u akademskoj godini 2022/2023). Na Pomoćima od međunarodnih organizacija evidentiran je ukupan iznos od 1</w:t>
      </w:r>
      <w:r w:rsidR="007964F4" w:rsidRPr="006F4299">
        <w:rPr>
          <w:sz w:val="22"/>
        </w:rPr>
        <w:t>58.240,41</w:t>
      </w:r>
      <w:r w:rsidRPr="006F4299">
        <w:rPr>
          <w:sz w:val="22"/>
        </w:rPr>
        <w:t xml:space="preserve"> EUR kojeg čine uplate temeljem Zahtjeva za nadoknadom sredstava br. 3 projekta financiranog iz programa Nacionalnog plana oporavka i otpornosti 2021.- 2026. nazivom </w:t>
      </w:r>
      <w:proofErr w:type="spellStart"/>
      <w:r w:rsidRPr="006F4299">
        <w:rPr>
          <w:sz w:val="22"/>
        </w:rPr>
        <w:t>Agro</w:t>
      </w:r>
      <w:proofErr w:type="spellEnd"/>
      <w:r w:rsidRPr="006F4299">
        <w:rPr>
          <w:sz w:val="22"/>
        </w:rPr>
        <w:t xml:space="preserve"> - </w:t>
      </w:r>
      <w:proofErr w:type="spellStart"/>
      <w:r w:rsidRPr="006F4299">
        <w:rPr>
          <w:sz w:val="22"/>
        </w:rPr>
        <w:t>KapS</w:t>
      </w:r>
      <w:proofErr w:type="spellEnd"/>
      <w:r w:rsidRPr="006F4299">
        <w:rPr>
          <w:sz w:val="22"/>
        </w:rPr>
        <w:t xml:space="preserve"> </w:t>
      </w:r>
      <w:proofErr w:type="spellStart"/>
      <w:r w:rsidRPr="006F4299">
        <w:rPr>
          <w:sz w:val="22"/>
        </w:rPr>
        <w:t>Agro</w:t>
      </w:r>
      <w:proofErr w:type="spellEnd"/>
      <w:r w:rsidRPr="006F4299">
        <w:rPr>
          <w:sz w:val="22"/>
        </w:rPr>
        <w:t xml:space="preserve"> kapsule za unaprjeđenje Svojstava armiranobetonskih građevina. </w:t>
      </w:r>
      <w:proofErr w:type="spellStart"/>
      <w:r w:rsidRPr="006F4299">
        <w:rPr>
          <w:sz w:val="22"/>
        </w:rPr>
        <w:t>Landeshauptkasse</w:t>
      </w:r>
      <w:proofErr w:type="spellEnd"/>
      <w:r w:rsidRPr="006F4299">
        <w:rPr>
          <w:sz w:val="22"/>
        </w:rPr>
        <w:t xml:space="preserve"> </w:t>
      </w:r>
      <w:proofErr w:type="spellStart"/>
      <w:r w:rsidRPr="006F4299">
        <w:rPr>
          <w:sz w:val="22"/>
        </w:rPr>
        <w:t>Thuringen</w:t>
      </w:r>
      <w:proofErr w:type="spellEnd"/>
      <w:r w:rsidRPr="006F4299">
        <w:rPr>
          <w:sz w:val="22"/>
        </w:rPr>
        <w:t xml:space="preserve"> izvršio je prijenos sredstava za 4.</w:t>
      </w:r>
      <w:r w:rsidR="007964F4" w:rsidRPr="006F4299">
        <w:rPr>
          <w:sz w:val="22"/>
        </w:rPr>
        <w:t xml:space="preserve"> i 5.</w:t>
      </w:r>
      <w:r w:rsidRPr="006F4299">
        <w:rPr>
          <w:sz w:val="22"/>
        </w:rPr>
        <w:t xml:space="preserve"> period izvještavanja po projektu </w:t>
      </w:r>
      <w:proofErr w:type="spellStart"/>
      <w:r w:rsidRPr="006F4299">
        <w:rPr>
          <w:sz w:val="22"/>
        </w:rPr>
        <w:t>Interreg</w:t>
      </w:r>
      <w:proofErr w:type="spellEnd"/>
      <w:r w:rsidRPr="006F4299">
        <w:rPr>
          <w:sz w:val="22"/>
        </w:rPr>
        <w:t xml:space="preserve"> Rail4Regions</w:t>
      </w:r>
      <w:r w:rsidR="007964F4" w:rsidRPr="006F4299">
        <w:rPr>
          <w:sz w:val="22"/>
        </w:rPr>
        <w:t xml:space="preserve">, </w:t>
      </w:r>
      <w:r w:rsidRPr="006F4299">
        <w:rPr>
          <w:sz w:val="22"/>
        </w:rPr>
        <w:t xml:space="preserve"> a ZAVOD DIHS izvršio je prvu uplatu po projektu </w:t>
      </w:r>
      <w:proofErr w:type="spellStart"/>
      <w:r w:rsidRPr="006F4299">
        <w:rPr>
          <w:sz w:val="22"/>
        </w:rPr>
        <w:t>Coporate</w:t>
      </w:r>
      <w:proofErr w:type="spellEnd"/>
      <w:r w:rsidRPr="006F4299">
        <w:rPr>
          <w:sz w:val="22"/>
        </w:rPr>
        <w:t xml:space="preserve"> </w:t>
      </w:r>
      <w:proofErr w:type="spellStart"/>
      <w:r w:rsidRPr="006F4299">
        <w:rPr>
          <w:sz w:val="22"/>
        </w:rPr>
        <w:t>digital</w:t>
      </w:r>
      <w:proofErr w:type="spellEnd"/>
      <w:r w:rsidRPr="006F4299">
        <w:rPr>
          <w:sz w:val="22"/>
        </w:rPr>
        <w:t xml:space="preserve"> </w:t>
      </w:r>
      <w:proofErr w:type="spellStart"/>
      <w:r w:rsidRPr="006F4299">
        <w:rPr>
          <w:sz w:val="22"/>
        </w:rPr>
        <w:t>responsibility</w:t>
      </w:r>
      <w:proofErr w:type="spellEnd"/>
      <w:r w:rsidRPr="006F4299">
        <w:rPr>
          <w:sz w:val="22"/>
        </w:rPr>
        <w:t xml:space="preserve"> </w:t>
      </w:r>
      <w:proofErr w:type="spellStart"/>
      <w:r w:rsidRPr="006F4299">
        <w:rPr>
          <w:sz w:val="22"/>
        </w:rPr>
        <w:t>skills</w:t>
      </w:r>
      <w:proofErr w:type="spellEnd"/>
      <w:r w:rsidRPr="006F4299">
        <w:rPr>
          <w:sz w:val="22"/>
        </w:rPr>
        <w:t xml:space="preserve"> </w:t>
      </w:r>
      <w:proofErr w:type="spellStart"/>
      <w:r w:rsidRPr="006F4299">
        <w:rPr>
          <w:sz w:val="22"/>
        </w:rPr>
        <w:t>in</w:t>
      </w:r>
      <w:proofErr w:type="spellEnd"/>
      <w:r w:rsidRPr="006F4299">
        <w:rPr>
          <w:sz w:val="22"/>
        </w:rPr>
        <w:t xml:space="preserve"> </w:t>
      </w:r>
      <w:proofErr w:type="spellStart"/>
      <w:r w:rsidRPr="006F4299">
        <w:rPr>
          <w:sz w:val="22"/>
        </w:rPr>
        <w:t>central</w:t>
      </w:r>
      <w:proofErr w:type="spellEnd"/>
      <w:r w:rsidRPr="006F4299">
        <w:rPr>
          <w:sz w:val="22"/>
        </w:rPr>
        <w:t xml:space="preserve"> European </w:t>
      </w:r>
      <w:proofErr w:type="spellStart"/>
      <w:r w:rsidRPr="006F4299">
        <w:rPr>
          <w:sz w:val="22"/>
        </w:rPr>
        <w:t>smart</w:t>
      </w:r>
      <w:proofErr w:type="spellEnd"/>
      <w:r w:rsidRPr="006F4299">
        <w:rPr>
          <w:sz w:val="22"/>
        </w:rPr>
        <w:t xml:space="preserve"> </w:t>
      </w:r>
      <w:proofErr w:type="spellStart"/>
      <w:r w:rsidRPr="006F4299">
        <w:rPr>
          <w:sz w:val="22"/>
        </w:rPr>
        <w:t>specilisation</w:t>
      </w:r>
      <w:proofErr w:type="spellEnd"/>
      <w:r w:rsidRPr="006F4299">
        <w:rPr>
          <w:sz w:val="22"/>
        </w:rPr>
        <w:t xml:space="preserve"> – COEUS te Europska svemirska agencija po projektu Odjela geodezije i </w:t>
      </w:r>
      <w:proofErr w:type="spellStart"/>
      <w:r w:rsidRPr="006F4299">
        <w:rPr>
          <w:sz w:val="22"/>
        </w:rPr>
        <w:t>geomatike</w:t>
      </w:r>
      <w:proofErr w:type="spellEnd"/>
      <w:r w:rsidRPr="006F4299">
        <w:rPr>
          <w:sz w:val="22"/>
        </w:rPr>
        <w:t xml:space="preserve">. Hrvatski zavoda za zapošljavanje izvršio je prijenos sredstava (vaučera) u iznosu 6.154,08 EUR  za polaznike programa „Njegovateljica u institucijskoj i </w:t>
      </w:r>
      <w:proofErr w:type="spellStart"/>
      <w:r w:rsidRPr="006F4299">
        <w:rPr>
          <w:sz w:val="22"/>
        </w:rPr>
        <w:t>izvaninstitucijskoj</w:t>
      </w:r>
      <w:proofErr w:type="spellEnd"/>
      <w:r w:rsidRPr="006F4299">
        <w:rPr>
          <w:sz w:val="22"/>
        </w:rPr>
        <w:t xml:space="preserve"> skrbi“ koje provodi nastavno osoblje Odjela za sestrinstvo, a prihod je evidentiran na kontu tekuće pomoći od HZMO-a, HZZ-a i HZZO-a. Varaždinska županija sufinancirala je aktivnosti Sveučilišta Sjever u ukupnom iznosu 15.000 EUR (za Festival znanosti dodijeljeno je 5.000,00 EUR, Tjednu karijera</w:t>
      </w:r>
      <w:r w:rsidR="006F4299" w:rsidRPr="006F4299">
        <w:rPr>
          <w:sz w:val="22"/>
        </w:rPr>
        <w:t xml:space="preserve"> 5.000 EUR, te </w:t>
      </w:r>
      <w:r w:rsidRPr="006F4299">
        <w:rPr>
          <w:sz w:val="22"/>
        </w:rPr>
        <w:t>nabava opreme u iznosu 5.000,00 EUR). Grad Koprivnica isplatio je jednokratnu pomoći od 2.000,00 EUR za provedbu manifestacije Sjever Media &amp; Design Fest, koja se održala u razdoblju od 24.-25. travnja 2025. godine. Varaždinska županija je u svibnju 2025. godine izvršila uplatu u iznosu 8.000,00 EUR prema Zaključku u svrhu financiranja nabave opreme za potrebe izvođenja studijskih programa u Sveučilišnom centru Varaždin. Navedene uplate evidentirane su na kontu Tekuće pomoći proračunskim korisnicima iz proračuna JLPRS koji im nije nadležan.</w:t>
      </w:r>
    </w:p>
    <w:p w:rsidR="006F4299" w:rsidRPr="006F4299" w:rsidRDefault="006F4299">
      <w:pPr>
        <w:spacing w:line="240" w:lineRule="auto"/>
        <w:jc w:val="both"/>
        <w:rPr>
          <w:sz w:val="22"/>
        </w:rPr>
      </w:pPr>
    </w:p>
    <w:p w:rsidR="0077119B" w:rsidRPr="006F4299" w:rsidRDefault="006F4299" w:rsidP="006F4299">
      <w:pPr>
        <w:keepNext/>
        <w:spacing w:line="240" w:lineRule="auto"/>
        <w:jc w:val="both"/>
        <w:rPr>
          <w:b/>
          <w:sz w:val="22"/>
        </w:rPr>
      </w:pPr>
      <w:r w:rsidRPr="00EB5BDE">
        <w:rPr>
          <w:b/>
          <w:sz w:val="22"/>
          <w:highlight w:val="yellow"/>
        </w:rPr>
        <w:t>63</w:t>
      </w:r>
      <w:r>
        <w:rPr>
          <w:b/>
          <w:sz w:val="22"/>
          <w:highlight w:val="yellow"/>
        </w:rPr>
        <w:t>2</w:t>
      </w:r>
      <w:r w:rsidRPr="00EB5BDE">
        <w:rPr>
          <w:b/>
          <w:sz w:val="22"/>
          <w:highlight w:val="yellow"/>
        </w:rPr>
        <w:t xml:space="preserve"> - Pomoći </w:t>
      </w:r>
      <w:r>
        <w:rPr>
          <w:b/>
          <w:sz w:val="22"/>
          <w:highlight w:val="yellow"/>
        </w:rPr>
        <w:t xml:space="preserve">od međunarodnih organizacija (193.099,11 EUR / 158.240,41 </w:t>
      </w:r>
      <w:r w:rsidRPr="007964F4">
        <w:rPr>
          <w:b/>
          <w:sz w:val="22"/>
          <w:highlight w:val="yellow"/>
        </w:rPr>
        <w:t xml:space="preserve">EUR) – indeks </w:t>
      </w:r>
      <w:r>
        <w:rPr>
          <w:b/>
          <w:sz w:val="22"/>
          <w:highlight w:val="yellow"/>
        </w:rPr>
        <w:t>81,9</w:t>
      </w:r>
    </w:p>
    <w:p w:rsidR="0077119B" w:rsidRDefault="006F4299">
      <w:pPr>
        <w:rPr>
          <w:sz w:val="22"/>
        </w:rPr>
      </w:pPr>
      <w:r w:rsidRPr="006F4299">
        <w:rPr>
          <w:sz w:val="22"/>
        </w:rPr>
        <w:t xml:space="preserve">Skupinu Pomoći od inozemstva i od subjekata unutar općeg proračuna čine tekuće pomoći od inozemnih vlada izvan EU u iznosu 15.208,02 EUR (uplata Sveučilišta u Mostaru za provođenje nastave u akademskoj godini 2022/2023). Na Pomoćima od međunarodnih organizacija evidentiran je ukupan iznos od 158.240,41 EUR kojeg čine uplate temeljem Zahtjeva za nadoknadom sredstava br. 3 projekta financiranog iz programa Nacionalnog plana oporavka i otpornosti 2021.- 2026. nazivom </w:t>
      </w:r>
      <w:proofErr w:type="spellStart"/>
      <w:r w:rsidRPr="006F4299">
        <w:rPr>
          <w:sz w:val="22"/>
        </w:rPr>
        <w:t>Agro</w:t>
      </w:r>
      <w:proofErr w:type="spellEnd"/>
      <w:r w:rsidRPr="006F4299">
        <w:rPr>
          <w:sz w:val="22"/>
        </w:rPr>
        <w:t xml:space="preserve"> - </w:t>
      </w:r>
      <w:proofErr w:type="spellStart"/>
      <w:r w:rsidRPr="006F4299">
        <w:rPr>
          <w:sz w:val="22"/>
        </w:rPr>
        <w:t>KapS</w:t>
      </w:r>
      <w:proofErr w:type="spellEnd"/>
      <w:r w:rsidRPr="006F4299">
        <w:rPr>
          <w:sz w:val="22"/>
        </w:rPr>
        <w:t xml:space="preserve"> </w:t>
      </w:r>
      <w:proofErr w:type="spellStart"/>
      <w:r w:rsidRPr="006F4299">
        <w:rPr>
          <w:sz w:val="22"/>
        </w:rPr>
        <w:t>Agro</w:t>
      </w:r>
      <w:proofErr w:type="spellEnd"/>
      <w:r w:rsidRPr="006F4299">
        <w:rPr>
          <w:sz w:val="22"/>
        </w:rPr>
        <w:t xml:space="preserve"> kapsule za unaprjeđenje Svojstava armiranobetonskih građevina. </w:t>
      </w:r>
      <w:proofErr w:type="spellStart"/>
      <w:r w:rsidRPr="006F4299">
        <w:rPr>
          <w:sz w:val="22"/>
        </w:rPr>
        <w:t>Landeshauptkasse</w:t>
      </w:r>
      <w:proofErr w:type="spellEnd"/>
      <w:r w:rsidRPr="006F4299">
        <w:rPr>
          <w:sz w:val="22"/>
        </w:rPr>
        <w:t xml:space="preserve"> </w:t>
      </w:r>
      <w:proofErr w:type="spellStart"/>
      <w:r w:rsidRPr="006F4299">
        <w:rPr>
          <w:sz w:val="22"/>
        </w:rPr>
        <w:t>Thuringen</w:t>
      </w:r>
      <w:proofErr w:type="spellEnd"/>
      <w:r w:rsidRPr="006F4299">
        <w:rPr>
          <w:sz w:val="22"/>
        </w:rPr>
        <w:t xml:space="preserve"> izvršio je prijenos sredstava za 4. i 5. period izvještavanja po projektu </w:t>
      </w:r>
      <w:proofErr w:type="spellStart"/>
      <w:r w:rsidRPr="006F4299">
        <w:rPr>
          <w:sz w:val="22"/>
        </w:rPr>
        <w:t>Interreg</w:t>
      </w:r>
      <w:proofErr w:type="spellEnd"/>
      <w:r w:rsidRPr="006F4299">
        <w:rPr>
          <w:sz w:val="22"/>
        </w:rPr>
        <w:t xml:space="preserve"> Rail4Regions,  a ZAVOD DIHS izvršio je prvu uplatu po projektu </w:t>
      </w:r>
      <w:proofErr w:type="spellStart"/>
      <w:r w:rsidRPr="006F4299">
        <w:rPr>
          <w:sz w:val="22"/>
        </w:rPr>
        <w:t>Coporate</w:t>
      </w:r>
      <w:proofErr w:type="spellEnd"/>
      <w:r w:rsidRPr="006F4299">
        <w:rPr>
          <w:sz w:val="22"/>
        </w:rPr>
        <w:t xml:space="preserve"> </w:t>
      </w:r>
      <w:proofErr w:type="spellStart"/>
      <w:r w:rsidRPr="006F4299">
        <w:rPr>
          <w:sz w:val="22"/>
        </w:rPr>
        <w:t>digital</w:t>
      </w:r>
      <w:proofErr w:type="spellEnd"/>
      <w:r w:rsidRPr="006F4299">
        <w:rPr>
          <w:sz w:val="22"/>
        </w:rPr>
        <w:t xml:space="preserve"> </w:t>
      </w:r>
      <w:proofErr w:type="spellStart"/>
      <w:r w:rsidRPr="006F4299">
        <w:rPr>
          <w:sz w:val="22"/>
        </w:rPr>
        <w:t>responsibility</w:t>
      </w:r>
      <w:proofErr w:type="spellEnd"/>
      <w:r w:rsidRPr="006F4299">
        <w:rPr>
          <w:sz w:val="22"/>
        </w:rPr>
        <w:t xml:space="preserve"> </w:t>
      </w:r>
      <w:proofErr w:type="spellStart"/>
      <w:r w:rsidRPr="006F4299">
        <w:rPr>
          <w:sz w:val="22"/>
        </w:rPr>
        <w:t>skills</w:t>
      </w:r>
      <w:proofErr w:type="spellEnd"/>
      <w:r w:rsidRPr="006F4299">
        <w:rPr>
          <w:sz w:val="22"/>
        </w:rPr>
        <w:t xml:space="preserve"> </w:t>
      </w:r>
      <w:proofErr w:type="spellStart"/>
      <w:r w:rsidRPr="006F4299">
        <w:rPr>
          <w:sz w:val="22"/>
        </w:rPr>
        <w:t>in</w:t>
      </w:r>
      <w:proofErr w:type="spellEnd"/>
      <w:r w:rsidRPr="006F4299">
        <w:rPr>
          <w:sz w:val="22"/>
        </w:rPr>
        <w:t xml:space="preserve"> </w:t>
      </w:r>
      <w:proofErr w:type="spellStart"/>
      <w:r w:rsidRPr="006F4299">
        <w:rPr>
          <w:sz w:val="22"/>
        </w:rPr>
        <w:t>central</w:t>
      </w:r>
      <w:proofErr w:type="spellEnd"/>
      <w:r w:rsidRPr="006F4299">
        <w:rPr>
          <w:sz w:val="22"/>
        </w:rPr>
        <w:t xml:space="preserve"> European </w:t>
      </w:r>
      <w:proofErr w:type="spellStart"/>
      <w:r w:rsidRPr="006F4299">
        <w:rPr>
          <w:sz w:val="22"/>
        </w:rPr>
        <w:t>smart</w:t>
      </w:r>
      <w:proofErr w:type="spellEnd"/>
      <w:r w:rsidRPr="006F4299">
        <w:rPr>
          <w:sz w:val="22"/>
        </w:rPr>
        <w:t xml:space="preserve"> </w:t>
      </w:r>
      <w:proofErr w:type="spellStart"/>
      <w:r w:rsidRPr="006F4299">
        <w:rPr>
          <w:sz w:val="22"/>
        </w:rPr>
        <w:t>specilisation</w:t>
      </w:r>
      <w:proofErr w:type="spellEnd"/>
      <w:r w:rsidRPr="006F4299">
        <w:rPr>
          <w:sz w:val="22"/>
        </w:rPr>
        <w:t xml:space="preserve"> – COEUS te Europska svemirska agencija po projektu Odjela geodezije i </w:t>
      </w:r>
      <w:proofErr w:type="spellStart"/>
      <w:r w:rsidRPr="006F4299">
        <w:rPr>
          <w:sz w:val="22"/>
        </w:rPr>
        <w:t>geomatike</w:t>
      </w:r>
      <w:proofErr w:type="spellEnd"/>
      <w:r w:rsidRPr="006F4299">
        <w:rPr>
          <w:sz w:val="22"/>
        </w:rPr>
        <w:t>.</w:t>
      </w:r>
    </w:p>
    <w:p w:rsidR="006F4299" w:rsidRDefault="006F4299">
      <w:pPr>
        <w:rPr>
          <w:color w:val="FF0000"/>
          <w:sz w:val="22"/>
        </w:rPr>
      </w:pPr>
    </w:p>
    <w:p w:rsidR="006F4299" w:rsidRDefault="006F4299">
      <w:pPr>
        <w:rPr>
          <w:color w:val="FF0000"/>
          <w:sz w:val="22"/>
        </w:rPr>
      </w:pPr>
    </w:p>
    <w:p w:rsidR="0077119B" w:rsidRPr="006F4299" w:rsidRDefault="006F4299" w:rsidP="006F4299">
      <w:pPr>
        <w:keepNext/>
        <w:spacing w:line="240" w:lineRule="auto"/>
        <w:jc w:val="both"/>
        <w:rPr>
          <w:b/>
          <w:sz w:val="22"/>
        </w:rPr>
      </w:pPr>
      <w:bookmarkStart w:id="0" w:name="_Hlk220526239"/>
      <w:r w:rsidRPr="00EB5BDE">
        <w:rPr>
          <w:b/>
          <w:sz w:val="22"/>
          <w:highlight w:val="yellow"/>
        </w:rPr>
        <w:lastRenderedPageBreak/>
        <w:t>63</w:t>
      </w:r>
      <w:r>
        <w:rPr>
          <w:b/>
          <w:sz w:val="22"/>
          <w:highlight w:val="yellow"/>
        </w:rPr>
        <w:t>6</w:t>
      </w:r>
      <w:r w:rsidRPr="00EB5BDE">
        <w:rPr>
          <w:b/>
          <w:sz w:val="22"/>
          <w:highlight w:val="yellow"/>
        </w:rPr>
        <w:t xml:space="preserve"> - Pomoći </w:t>
      </w:r>
      <w:r>
        <w:rPr>
          <w:b/>
          <w:sz w:val="22"/>
          <w:highlight w:val="yellow"/>
        </w:rPr>
        <w:t xml:space="preserve">od međunarodnih organizacija (17.000,00 EUR / 25.000,00 </w:t>
      </w:r>
      <w:r w:rsidRPr="007964F4">
        <w:rPr>
          <w:b/>
          <w:sz w:val="22"/>
          <w:highlight w:val="yellow"/>
        </w:rPr>
        <w:t xml:space="preserve">EUR) – indeks </w:t>
      </w:r>
      <w:r>
        <w:rPr>
          <w:b/>
          <w:sz w:val="22"/>
          <w:highlight w:val="yellow"/>
        </w:rPr>
        <w:t>147,1</w:t>
      </w:r>
    </w:p>
    <w:bookmarkEnd w:id="0"/>
    <w:p w:rsidR="0077119B" w:rsidRPr="006F4299" w:rsidRDefault="00A55912">
      <w:pPr>
        <w:spacing w:line="240" w:lineRule="auto"/>
        <w:jc w:val="both"/>
        <w:rPr>
          <w:sz w:val="22"/>
        </w:rPr>
      </w:pPr>
      <w:r w:rsidRPr="006F4299">
        <w:rPr>
          <w:sz w:val="22"/>
        </w:rPr>
        <w:t xml:space="preserve">Varaždinska županija sufinancirala je aktivnosti Sveučilišta Sjever u ukupnom iznosu 15.000 EUR (za Festival znanosti dodijeljeno je 5.000,00 EUR, Tjednu karijera 5.000,00 EUR i  </w:t>
      </w:r>
      <w:r w:rsidR="006F4299" w:rsidRPr="006F4299">
        <w:rPr>
          <w:sz w:val="22"/>
        </w:rPr>
        <w:t xml:space="preserve">pokriće troškova </w:t>
      </w:r>
      <w:r w:rsidRPr="006F4299">
        <w:rPr>
          <w:sz w:val="22"/>
        </w:rPr>
        <w:t>nabav</w:t>
      </w:r>
      <w:r w:rsidR="006F4299" w:rsidRPr="006F4299">
        <w:rPr>
          <w:sz w:val="22"/>
        </w:rPr>
        <w:t>e</w:t>
      </w:r>
      <w:r w:rsidRPr="006F4299">
        <w:rPr>
          <w:sz w:val="22"/>
        </w:rPr>
        <w:t xml:space="preserve"> opreme u iznosu 5.000,00 EUR). Grad Koprivnica je isplatio jednokratnu pomoć od 2.000,00 EUR za provedbu manifestacije Sjever Media &amp; Design Fest, koja se održala u razdoblju od 24.-25. travnja 2025. godine. Varaždinska županija je u svibnju 2025. godine izvršila uplatu u iznosu 8.000,00 EUR prema Zaključku, u svrhu financiranja nabave opreme za potrebe izvođenja studijskih programa u Sveučilišnom centru Varaždin. Navedene uplate evidentirane su na kontu Tekuće pomoći proračunskim korisnicima iz proračuna JLPRS koji im nije nadležan.</w:t>
      </w:r>
    </w:p>
    <w:p w:rsidR="0077119B" w:rsidRDefault="0077119B">
      <w:pPr>
        <w:rPr>
          <w:color w:val="FF0000"/>
          <w:sz w:val="22"/>
        </w:rPr>
      </w:pPr>
    </w:p>
    <w:p w:rsidR="0077119B" w:rsidRPr="00830991" w:rsidRDefault="000F2CA7" w:rsidP="00830991">
      <w:pPr>
        <w:keepNext/>
        <w:spacing w:line="240" w:lineRule="auto"/>
        <w:jc w:val="both"/>
        <w:rPr>
          <w:b/>
          <w:sz w:val="22"/>
        </w:rPr>
      </w:pPr>
      <w:r w:rsidRPr="00830991">
        <w:rPr>
          <w:b/>
          <w:sz w:val="22"/>
          <w:highlight w:val="yellow"/>
        </w:rPr>
        <w:t>63</w:t>
      </w:r>
      <w:r w:rsidR="00830991" w:rsidRPr="00830991">
        <w:rPr>
          <w:b/>
          <w:sz w:val="22"/>
          <w:highlight w:val="yellow"/>
        </w:rPr>
        <w:t>9</w:t>
      </w:r>
      <w:r w:rsidRPr="00830991">
        <w:rPr>
          <w:b/>
          <w:sz w:val="22"/>
          <w:highlight w:val="yellow"/>
        </w:rPr>
        <w:t xml:space="preserve"> - </w:t>
      </w:r>
      <w:r w:rsidR="00830991" w:rsidRPr="00830991">
        <w:rPr>
          <w:b/>
          <w:sz w:val="22"/>
          <w:highlight w:val="yellow"/>
        </w:rPr>
        <w:t>Prijenosi između proračunskih korisnika istog proračuna</w:t>
      </w:r>
      <w:r w:rsidRPr="00830991">
        <w:rPr>
          <w:b/>
          <w:sz w:val="22"/>
          <w:highlight w:val="yellow"/>
        </w:rPr>
        <w:t xml:space="preserve"> (</w:t>
      </w:r>
      <w:r w:rsidR="00830991">
        <w:rPr>
          <w:b/>
          <w:sz w:val="22"/>
          <w:highlight w:val="yellow"/>
        </w:rPr>
        <w:t>389.313,91</w:t>
      </w:r>
      <w:r w:rsidRPr="00830991">
        <w:rPr>
          <w:b/>
          <w:sz w:val="22"/>
          <w:highlight w:val="yellow"/>
        </w:rPr>
        <w:t xml:space="preserve"> EUR / </w:t>
      </w:r>
      <w:r w:rsidR="00830991">
        <w:rPr>
          <w:b/>
          <w:sz w:val="22"/>
          <w:highlight w:val="yellow"/>
        </w:rPr>
        <w:t>912.783,94</w:t>
      </w:r>
      <w:r w:rsidRPr="00830991">
        <w:rPr>
          <w:b/>
          <w:sz w:val="22"/>
          <w:highlight w:val="yellow"/>
        </w:rPr>
        <w:t xml:space="preserve"> EUR) – indeks </w:t>
      </w:r>
      <w:r w:rsidR="00830991">
        <w:rPr>
          <w:b/>
          <w:sz w:val="22"/>
          <w:highlight w:val="yellow"/>
        </w:rPr>
        <w:t>234,5</w:t>
      </w:r>
    </w:p>
    <w:p w:rsidR="0077119B" w:rsidRDefault="00A55912">
      <w:pPr>
        <w:spacing w:line="240" w:lineRule="auto"/>
        <w:jc w:val="both"/>
        <w:rPr>
          <w:sz w:val="22"/>
        </w:rPr>
      </w:pPr>
      <w:r w:rsidRPr="00830991">
        <w:rPr>
          <w:sz w:val="22"/>
        </w:rPr>
        <w:t>U 2025. godini ostvaren je veći priljev sredstava za financiranje plaća djelatnika po projektima Hrvatske zaklade za znanosti (</w:t>
      </w:r>
      <w:proofErr w:type="spellStart"/>
      <w:r w:rsidRPr="00830991">
        <w:rPr>
          <w:sz w:val="22"/>
        </w:rPr>
        <w:t>Uspostavni</w:t>
      </w:r>
      <w:proofErr w:type="spellEnd"/>
      <w:r w:rsidRPr="00830991">
        <w:rPr>
          <w:sz w:val="22"/>
        </w:rPr>
        <w:t xml:space="preserve"> istraživački projekt HRZZ:UIP-2019-4-1018 i HRZZ DOPK-NPOO-2023-10-5666). Vidljiva razlika između iznosa ostvarenog u 2024. i 2025. godini odnosi se na primjenu novog Pravilnika o EU fondovima i Upute za računovodstveno evidentiranje sredstava Europske unije prema kojem prihode ostvarene iz EU projekata možemo priznati tek po nastanku rashoda. Odnosno do trenutka nastanka rashoda, sve uplate po EU projektima knjiže se na konta Obveza za predujmove.</w:t>
      </w:r>
    </w:p>
    <w:p w:rsidR="00EB7309" w:rsidRDefault="00EB7309">
      <w:pPr>
        <w:spacing w:line="240" w:lineRule="auto"/>
        <w:jc w:val="both"/>
        <w:rPr>
          <w:sz w:val="22"/>
        </w:rPr>
      </w:pPr>
    </w:p>
    <w:p w:rsidR="002A341D" w:rsidRPr="00830991" w:rsidRDefault="002A341D" w:rsidP="002A341D">
      <w:pPr>
        <w:keepNext/>
        <w:spacing w:line="240" w:lineRule="auto"/>
        <w:jc w:val="both"/>
        <w:rPr>
          <w:b/>
          <w:sz w:val="22"/>
        </w:rPr>
      </w:pPr>
      <w:r w:rsidRPr="00830991">
        <w:rPr>
          <w:b/>
          <w:sz w:val="22"/>
          <w:highlight w:val="yellow"/>
        </w:rPr>
        <w:t>639</w:t>
      </w:r>
      <w:r>
        <w:rPr>
          <w:b/>
          <w:sz w:val="22"/>
          <w:highlight w:val="yellow"/>
        </w:rPr>
        <w:t>1</w:t>
      </w:r>
      <w:r w:rsidRPr="00830991">
        <w:rPr>
          <w:b/>
          <w:sz w:val="22"/>
          <w:highlight w:val="yellow"/>
        </w:rPr>
        <w:t xml:space="preserve"> </w:t>
      </w:r>
      <w:r>
        <w:rPr>
          <w:b/>
          <w:sz w:val="22"/>
          <w:highlight w:val="yellow"/>
        </w:rPr>
        <w:t>–</w:t>
      </w:r>
      <w:r w:rsidRPr="00830991">
        <w:rPr>
          <w:b/>
          <w:sz w:val="22"/>
          <w:highlight w:val="yellow"/>
        </w:rPr>
        <w:t xml:space="preserve"> </w:t>
      </w:r>
      <w:r>
        <w:rPr>
          <w:b/>
          <w:sz w:val="22"/>
          <w:highlight w:val="yellow"/>
        </w:rPr>
        <w:t>Tekući p</w:t>
      </w:r>
      <w:r w:rsidRPr="00830991">
        <w:rPr>
          <w:b/>
          <w:sz w:val="22"/>
          <w:highlight w:val="yellow"/>
        </w:rPr>
        <w:t>rijenosi između proračunskih korisnika istog proračuna (</w:t>
      </w:r>
      <w:r>
        <w:rPr>
          <w:b/>
          <w:sz w:val="22"/>
          <w:highlight w:val="yellow"/>
        </w:rPr>
        <w:t>93.521,71</w:t>
      </w:r>
      <w:r w:rsidRPr="00830991">
        <w:rPr>
          <w:b/>
          <w:sz w:val="22"/>
          <w:highlight w:val="yellow"/>
        </w:rPr>
        <w:t xml:space="preserve"> EUR / </w:t>
      </w:r>
      <w:r>
        <w:rPr>
          <w:b/>
          <w:sz w:val="22"/>
          <w:highlight w:val="yellow"/>
        </w:rPr>
        <w:t>140.278,49</w:t>
      </w:r>
      <w:r w:rsidRPr="00830991">
        <w:rPr>
          <w:b/>
          <w:sz w:val="22"/>
          <w:highlight w:val="yellow"/>
        </w:rPr>
        <w:t xml:space="preserve"> EUR) – indeks </w:t>
      </w:r>
      <w:r>
        <w:rPr>
          <w:b/>
          <w:sz w:val="22"/>
          <w:highlight w:val="yellow"/>
        </w:rPr>
        <w:t>150,0</w:t>
      </w:r>
    </w:p>
    <w:p w:rsidR="002A341D" w:rsidRDefault="002A341D">
      <w:pPr>
        <w:spacing w:line="240" w:lineRule="auto"/>
        <w:jc w:val="both"/>
        <w:rPr>
          <w:sz w:val="22"/>
        </w:rPr>
      </w:pPr>
      <w:r>
        <w:rPr>
          <w:sz w:val="22"/>
        </w:rPr>
        <w:t>U proračunskoj 2025. godini o</w:t>
      </w:r>
      <w:r w:rsidRPr="002A341D">
        <w:rPr>
          <w:sz w:val="22"/>
        </w:rPr>
        <w:t xml:space="preserve"> </w:t>
      </w:r>
      <w:r w:rsidRPr="00830991">
        <w:rPr>
          <w:sz w:val="22"/>
        </w:rPr>
        <w:t>ostvaren je veći priljev sredstava za financiranje plaća djelatnika po projektima Hrvatske zaklade za znanosti (</w:t>
      </w:r>
      <w:proofErr w:type="spellStart"/>
      <w:r w:rsidRPr="00830991">
        <w:rPr>
          <w:sz w:val="22"/>
        </w:rPr>
        <w:t>Uspostavni</w:t>
      </w:r>
      <w:proofErr w:type="spellEnd"/>
      <w:r w:rsidRPr="00830991">
        <w:rPr>
          <w:sz w:val="22"/>
        </w:rPr>
        <w:t xml:space="preserve"> istraživački projekt HRZZ:UIP-2019-4-1018 i HRZZ DOPK-NPOO-2023-10-5666).</w:t>
      </w:r>
      <w:r w:rsidR="00CB19CF">
        <w:rPr>
          <w:sz w:val="22"/>
        </w:rPr>
        <w:t xml:space="preserve"> Krajem proračunske godine, nadležno Ministarstvo znanosti, obrazovanja i mladih izvršilo je prijenose sredstava </w:t>
      </w:r>
      <w:r w:rsidR="00291B30">
        <w:rPr>
          <w:sz w:val="22"/>
        </w:rPr>
        <w:t xml:space="preserve">sufinanciranja </w:t>
      </w:r>
      <w:proofErr w:type="spellStart"/>
      <w:r w:rsidR="00291B30">
        <w:rPr>
          <w:sz w:val="22"/>
        </w:rPr>
        <w:t>bilateralog</w:t>
      </w:r>
      <w:proofErr w:type="spellEnd"/>
      <w:r w:rsidR="00291B30">
        <w:rPr>
          <w:sz w:val="22"/>
        </w:rPr>
        <w:t xml:space="preserve"> hrvatsko-kineskog projekata (8.000 EUR) te prijenose za sufinanciranje izdavanja znanstvenih knjiga i visokoobrazovnih udžbenika za 8 izdanja u ukupnom iznosu 10.396 EUR.</w:t>
      </w:r>
    </w:p>
    <w:p w:rsidR="00291B30" w:rsidRPr="00830991" w:rsidRDefault="00291B30">
      <w:pPr>
        <w:spacing w:line="240" w:lineRule="auto"/>
        <w:jc w:val="both"/>
        <w:rPr>
          <w:sz w:val="22"/>
        </w:rPr>
      </w:pPr>
    </w:p>
    <w:p w:rsidR="00291B30" w:rsidRPr="00830991" w:rsidRDefault="00291B30" w:rsidP="00291B30">
      <w:pPr>
        <w:keepNext/>
        <w:spacing w:line="240" w:lineRule="auto"/>
        <w:jc w:val="both"/>
        <w:rPr>
          <w:b/>
          <w:sz w:val="22"/>
        </w:rPr>
      </w:pPr>
      <w:r w:rsidRPr="00830991">
        <w:rPr>
          <w:b/>
          <w:sz w:val="22"/>
          <w:highlight w:val="yellow"/>
        </w:rPr>
        <w:t>639</w:t>
      </w:r>
      <w:r>
        <w:rPr>
          <w:b/>
          <w:sz w:val="22"/>
          <w:highlight w:val="yellow"/>
        </w:rPr>
        <w:t>2</w:t>
      </w:r>
      <w:r w:rsidRPr="00830991">
        <w:rPr>
          <w:b/>
          <w:sz w:val="22"/>
          <w:highlight w:val="yellow"/>
        </w:rPr>
        <w:t xml:space="preserve"> </w:t>
      </w:r>
      <w:r>
        <w:rPr>
          <w:b/>
          <w:sz w:val="22"/>
          <w:highlight w:val="yellow"/>
        </w:rPr>
        <w:t>–</w:t>
      </w:r>
      <w:r w:rsidRPr="00830991">
        <w:rPr>
          <w:b/>
          <w:sz w:val="22"/>
          <w:highlight w:val="yellow"/>
        </w:rPr>
        <w:t xml:space="preserve"> </w:t>
      </w:r>
      <w:r>
        <w:rPr>
          <w:b/>
          <w:sz w:val="22"/>
          <w:highlight w:val="yellow"/>
        </w:rPr>
        <w:t>Kapitalni p</w:t>
      </w:r>
      <w:r w:rsidRPr="00830991">
        <w:rPr>
          <w:b/>
          <w:sz w:val="22"/>
          <w:highlight w:val="yellow"/>
        </w:rPr>
        <w:t>rijenosi između proračunskih korisnika istog proračuna (</w:t>
      </w:r>
      <w:r>
        <w:rPr>
          <w:b/>
          <w:sz w:val="22"/>
          <w:highlight w:val="yellow"/>
        </w:rPr>
        <w:t>0,00</w:t>
      </w:r>
      <w:r w:rsidRPr="00830991">
        <w:rPr>
          <w:b/>
          <w:sz w:val="22"/>
          <w:highlight w:val="yellow"/>
        </w:rPr>
        <w:t xml:space="preserve"> EUR / </w:t>
      </w:r>
      <w:r>
        <w:rPr>
          <w:b/>
          <w:sz w:val="22"/>
          <w:highlight w:val="yellow"/>
        </w:rPr>
        <w:t>671.327,00</w:t>
      </w:r>
      <w:r w:rsidRPr="00830991">
        <w:rPr>
          <w:b/>
          <w:sz w:val="22"/>
          <w:highlight w:val="yellow"/>
        </w:rPr>
        <w:t xml:space="preserve"> EUR) – indeks </w:t>
      </w:r>
      <w:r>
        <w:rPr>
          <w:b/>
          <w:sz w:val="22"/>
          <w:highlight w:val="yellow"/>
        </w:rPr>
        <w:t>-</w:t>
      </w:r>
    </w:p>
    <w:p w:rsidR="0077119B" w:rsidRDefault="005E398F" w:rsidP="005845AB">
      <w:pPr>
        <w:jc w:val="both"/>
        <w:rPr>
          <w:rFonts w:eastAsia="Times New Roman" w:cs="Times New Roman"/>
          <w:sz w:val="22"/>
        </w:rPr>
      </w:pPr>
      <w:r>
        <w:rPr>
          <w:rFonts w:eastAsia="Times New Roman" w:cs="Times New Roman"/>
          <w:sz w:val="22"/>
        </w:rPr>
        <w:t>S</w:t>
      </w:r>
      <w:r w:rsidRPr="005E398F">
        <w:rPr>
          <w:rFonts w:eastAsia="Times New Roman" w:cs="Times New Roman"/>
          <w:sz w:val="22"/>
        </w:rPr>
        <w:t>ukladno Odluci o korištenju planiranih financijskih sredstava sa kapitalnog projekta K733074 – IZGRADNJA STUDENTSKOG DOMA U KOPRIVNICI u Državnom proračunu Republike Hrvatske za 2025. godinu (KLASA: 404-02/23-01/00329, URBROJ: 533-02-25-0009 od 30. siječnja 2025. godine)</w:t>
      </w:r>
      <w:r w:rsidR="005845AB">
        <w:rPr>
          <w:rFonts w:eastAsia="Times New Roman" w:cs="Times New Roman"/>
          <w:sz w:val="22"/>
        </w:rPr>
        <w:t xml:space="preserve"> Ministarstvo znanosti, obrazovanja i mladih izvršilo je prijenose sredstava (refundaciju) prema Sveučilištu Sjever na ime izvođenja radova na kapitalnom projektu izgradnje studentskog doma u Koprivnici. Ujedno prateći visinu rezerviranih sredstava u Državnom proračunu RH prema izglasanim izmjenama i dopunama Državnog proračuna (iz mjeseca listopada 2025.), Sveučilištu su izvršeni kapitalni prijenosi sredstava u ukupnom iznosu 671.327,00 EUR. Navedenom iznosom pokriveni su rashodi mjesečno izdanih privremenih situacija gradnje.</w:t>
      </w:r>
    </w:p>
    <w:p w:rsidR="00D1343D" w:rsidRDefault="00D1343D" w:rsidP="005845AB">
      <w:pPr>
        <w:jc w:val="both"/>
        <w:rPr>
          <w:color w:val="FF0000"/>
          <w:sz w:val="22"/>
        </w:rPr>
      </w:pPr>
    </w:p>
    <w:p w:rsidR="00D1343D" w:rsidRPr="00401B60" w:rsidRDefault="00D1343D" w:rsidP="00401B60">
      <w:pPr>
        <w:keepNext/>
        <w:spacing w:line="240" w:lineRule="auto"/>
        <w:jc w:val="both"/>
        <w:rPr>
          <w:b/>
          <w:sz w:val="22"/>
        </w:rPr>
      </w:pPr>
      <w:r w:rsidRPr="00830991">
        <w:rPr>
          <w:b/>
          <w:sz w:val="22"/>
          <w:highlight w:val="yellow"/>
        </w:rPr>
        <w:t>639</w:t>
      </w:r>
      <w:r>
        <w:rPr>
          <w:b/>
          <w:sz w:val="22"/>
          <w:highlight w:val="yellow"/>
        </w:rPr>
        <w:t>3</w:t>
      </w:r>
      <w:r w:rsidRPr="00830991">
        <w:rPr>
          <w:b/>
          <w:sz w:val="22"/>
          <w:highlight w:val="yellow"/>
        </w:rPr>
        <w:t xml:space="preserve"> </w:t>
      </w:r>
      <w:r>
        <w:rPr>
          <w:b/>
          <w:sz w:val="22"/>
          <w:highlight w:val="yellow"/>
        </w:rPr>
        <w:t>–</w:t>
      </w:r>
      <w:r w:rsidRPr="00830991">
        <w:rPr>
          <w:b/>
          <w:sz w:val="22"/>
          <w:highlight w:val="yellow"/>
        </w:rPr>
        <w:t xml:space="preserve"> </w:t>
      </w:r>
      <w:r>
        <w:rPr>
          <w:b/>
          <w:sz w:val="22"/>
          <w:highlight w:val="yellow"/>
        </w:rPr>
        <w:t>Tekući p</w:t>
      </w:r>
      <w:r w:rsidRPr="00830991">
        <w:rPr>
          <w:b/>
          <w:sz w:val="22"/>
          <w:highlight w:val="yellow"/>
        </w:rPr>
        <w:t>rijenosi između proračunskih korisnika istog proračuna</w:t>
      </w:r>
      <w:r w:rsidR="00401B60">
        <w:rPr>
          <w:b/>
          <w:sz w:val="22"/>
          <w:highlight w:val="yellow"/>
        </w:rPr>
        <w:t xml:space="preserve"> temeljem prijenosa EU sredstava</w:t>
      </w:r>
      <w:r w:rsidRPr="00830991">
        <w:rPr>
          <w:b/>
          <w:sz w:val="22"/>
          <w:highlight w:val="yellow"/>
        </w:rPr>
        <w:t xml:space="preserve"> (</w:t>
      </w:r>
      <w:r w:rsidR="00401B60">
        <w:rPr>
          <w:b/>
          <w:sz w:val="22"/>
          <w:highlight w:val="yellow"/>
        </w:rPr>
        <w:t>295.792,20</w:t>
      </w:r>
      <w:r w:rsidRPr="00830991">
        <w:rPr>
          <w:b/>
          <w:sz w:val="22"/>
          <w:highlight w:val="yellow"/>
        </w:rPr>
        <w:t xml:space="preserve"> EUR / </w:t>
      </w:r>
      <w:r w:rsidR="00401B60">
        <w:rPr>
          <w:b/>
          <w:sz w:val="22"/>
          <w:highlight w:val="yellow"/>
        </w:rPr>
        <w:t>101.178,45</w:t>
      </w:r>
      <w:r w:rsidRPr="00830991">
        <w:rPr>
          <w:b/>
          <w:sz w:val="22"/>
          <w:highlight w:val="yellow"/>
        </w:rPr>
        <w:t xml:space="preserve"> EUR) – indeks </w:t>
      </w:r>
      <w:r w:rsidR="00401B60">
        <w:rPr>
          <w:b/>
          <w:sz w:val="22"/>
          <w:highlight w:val="yellow"/>
        </w:rPr>
        <w:t>34,2</w:t>
      </w:r>
    </w:p>
    <w:p w:rsidR="0077119B" w:rsidRDefault="00D1343D" w:rsidP="00E82CE6">
      <w:pPr>
        <w:spacing w:line="240" w:lineRule="auto"/>
        <w:jc w:val="both"/>
        <w:rPr>
          <w:sz w:val="22"/>
        </w:rPr>
      </w:pPr>
      <w:r w:rsidRPr="00830991">
        <w:rPr>
          <w:sz w:val="22"/>
        </w:rPr>
        <w:t>Vidljiva razlika između iznosa ostvarenog u 2024. i 2025. godini odnosi se na primjenu novog Pravilnika o EU fondovima i Upute za računovodstveno evidentiranje sredstava Europske unije prema kojem prihode ostvarene iz EU projekata možemo priznati tek po nastanku rashoda. Odnosno do trenutka nastanka rashoda, sve uplate po EU projektima knjiže se na konta Obveza za predujmove.</w:t>
      </w:r>
      <w:r w:rsidR="00115D97" w:rsidRPr="00115D97">
        <w:t xml:space="preserve"> </w:t>
      </w:r>
      <w:r w:rsidR="00C30870">
        <w:t xml:space="preserve">Na kontu </w:t>
      </w:r>
      <w:r w:rsidR="00C30870">
        <w:lastRenderedPageBreak/>
        <w:t xml:space="preserve">tekućih prijenosa evidentiran je prihod za projekte koji su mogli biti priznati u 2025. godini. Konto ujedno obuhvaća prijenose sredstava za plaće po projektu </w:t>
      </w:r>
      <w:r w:rsidR="00115D97" w:rsidRPr="00115D97">
        <w:rPr>
          <w:sz w:val="22"/>
        </w:rPr>
        <w:t>HRZZ DOPK-NPOO-2023-10-5666</w:t>
      </w:r>
      <w:r w:rsidR="00C30870">
        <w:rPr>
          <w:sz w:val="22"/>
        </w:rPr>
        <w:t>.</w:t>
      </w:r>
    </w:p>
    <w:p w:rsidR="00E82CE6" w:rsidRPr="00E82CE6" w:rsidRDefault="00E82CE6" w:rsidP="00E82CE6">
      <w:pPr>
        <w:spacing w:line="240" w:lineRule="auto"/>
        <w:jc w:val="both"/>
        <w:rPr>
          <w:sz w:val="22"/>
        </w:rPr>
      </w:pPr>
    </w:p>
    <w:p w:rsidR="0077119B" w:rsidRPr="00E82CE6" w:rsidRDefault="00E82CE6" w:rsidP="00E82CE6">
      <w:pPr>
        <w:keepNext/>
        <w:spacing w:line="240" w:lineRule="auto"/>
        <w:jc w:val="both"/>
        <w:rPr>
          <w:b/>
          <w:sz w:val="22"/>
        </w:rPr>
      </w:pPr>
      <w:r w:rsidRPr="00E82CE6">
        <w:rPr>
          <w:b/>
          <w:sz w:val="22"/>
          <w:highlight w:val="yellow"/>
        </w:rPr>
        <w:t>65 – Prihodi od upravnih i administrativnih pristojbi, pristojbi po posebnim propisima i naknada (2</w:t>
      </w:r>
      <w:r>
        <w:rPr>
          <w:b/>
          <w:sz w:val="22"/>
          <w:highlight w:val="yellow"/>
        </w:rPr>
        <w:t>.456.829,75</w:t>
      </w:r>
      <w:r w:rsidRPr="00E82CE6">
        <w:rPr>
          <w:b/>
          <w:sz w:val="22"/>
          <w:highlight w:val="yellow"/>
        </w:rPr>
        <w:t xml:space="preserve"> EUR / </w:t>
      </w:r>
      <w:r>
        <w:rPr>
          <w:b/>
          <w:sz w:val="22"/>
          <w:highlight w:val="yellow"/>
        </w:rPr>
        <w:t>2.652.311,29</w:t>
      </w:r>
      <w:r w:rsidRPr="00E82CE6">
        <w:rPr>
          <w:b/>
          <w:sz w:val="22"/>
          <w:highlight w:val="yellow"/>
        </w:rPr>
        <w:t xml:space="preserve"> EUR) – indeks </w:t>
      </w:r>
      <w:r>
        <w:rPr>
          <w:b/>
          <w:sz w:val="22"/>
          <w:highlight w:val="yellow"/>
        </w:rPr>
        <w:t>108,0</w:t>
      </w:r>
    </w:p>
    <w:p w:rsidR="0077119B" w:rsidRPr="00FE3906" w:rsidRDefault="00A55912" w:rsidP="00FE3906">
      <w:pPr>
        <w:spacing w:line="240" w:lineRule="auto"/>
        <w:jc w:val="both"/>
        <w:rPr>
          <w:sz w:val="22"/>
        </w:rPr>
      </w:pPr>
      <w:r w:rsidRPr="007840C5">
        <w:rPr>
          <w:sz w:val="22"/>
        </w:rPr>
        <w:t>Prihodi od upravnih i administrativnih pristojbi, pristojbi po posebnim propisima i naknada</w:t>
      </w:r>
      <w:r w:rsidR="00E82CE6" w:rsidRPr="007840C5">
        <w:rPr>
          <w:sz w:val="22"/>
        </w:rPr>
        <w:t xml:space="preserve"> </w:t>
      </w:r>
      <w:r w:rsidRPr="007840C5">
        <w:rPr>
          <w:sz w:val="22"/>
        </w:rPr>
        <w:t xml:space="preserve">čine najvećim dijelom prihodi ostvareni od uplaćenih školarina u iznosu od </w:t>
      </w:r>
      <w:r w:rsidR="00756AE9" w:rsidRPr="007840C5">
        <w:rPr>
          <w:sz w:val="22"/>
        </w:rPr>
        <w:t>2.291.214,60</w:t>
      </w:r>
      <w:r w:rsidRPr="007840C5">
        <w:rPr>
          <w:sz w:val="22"/>
        </w:rPr>
        <w:t xml:space="preserve"> EUR i ostalih prihoda vezanih uz troškove upisa, troškove razredbenih postupaka, prihode od promocija i diploma, troškove ispisa, prihode od potvrda, rješenja i zamolbi, prihoda od provjere vjerodostojnosti diploma i prihode od razlikovnih ispita. U 1. kvartalu 2025. godine ostvaren je prihod po posebnim propisima u iznosu 354.584,01 EUR ostvaren od naplate bankarske garancije i raskida ugovornog odnosa za nerealizirane građevinske radove od strane inozemne građevinske tvrtke.</w:t>
      </w:r>
    </w:p>
    <w:p w:rsidR="0077119B" w:rsidRPr="00A278AA" w:rsidRDefault="0077119B" w:rsidP="00A278AA">
      <w:pPr>
        <w:keepNext/>
        <w:spacing w:line="240" w:lineRule="auto"/>
        <w:rPr>
          <w:color w:val="FF0000"/>
          <w:sz w:val="22"/>
        </w:rPr>
      </w:pPr>
    </w:p>
    <w:p w:rsidR="00F95474" w:rsidRDefault="00962884" w:rsidP="00F95474">
      <w:pPr>
        <w:keepNext/>
        <w:spacing w:line="240" w:lineRule="auto"/>
        <w:jc w:val="both"/>
        <w:rPr>
          <w:b/>
          <w:sz w:val="22"/>
        </w:rPr>
      </w:pPr>
      <w:r w:rsidRPr="00E82CE6">
        <w:rPr>
          <w:b/>
          <w:sz w:val="22"/>
          <w:highlight w:val="yellow"/>
        </w:rPr>
        <w:t>6</w:t>
      </w:r>
      <w:r>
        <w:rPr>
          <w:b/>
          <w:sz w:val="22"/>
          <w:highlight w:val="yellow"/>
        </w:rPr>
        <w:t>7</w:t>
      </w:r>
      <w:r w:rsidRPr="00E82CE6">
        <w:rPr>
          <w:b/>
          <w:sz w:val="22"/>
          <w:highlight w:val="yellow"/>
        </w:rPr>
        <w:t xml:space="preserve"> – Prihodi od upravnih i administrativnih pristojbi, pristojbi po posebnim propisima i naknada (</w:t>
      </w:r>
      <w:r>
        <w:rPr>
          <w:b/>
          <w:sz w:val="22"/>
          <w:highlight w:val="yellow"/>
        </w:rPr>
        <w:t>10.173.480,22</w:t>
      </w:r>
      <w:r w:rsidRPr="00E82CE6">
        <w:rPr>
          <w:b/>
          <w:sz w:val="22"/>
          <w:highlight w:val="yellow"/>
        </w:rPr>
        <w:t xml:space="preserve"> EUR /</w:t>
      </w:r>
      <w:r>
        <w:rPr>
          <w:b/>
          <w:sz w:val="22"/>
          <w:highlight w:val="yellow"/>
        </w:rPr>
        <w:t xml:space="preserve"> 11.035.891,82</w:t>
      </w:r>
      <w:r w:rsidRPr="00E82CE6">
        <w:rPr>
          <w:b/>
          <w:sz w:val="22"/>
          <w:highlight w:val="yellow"/>
        </w:rPr>
        <w:t xml:space="preserve"> EUR) – indeks </w:t>
      </w:r>
      <w:r>
        <w:rPr>
          <w:b/>
          <w:sz w:val="22"/>
          <w:highlight w:val="yellow"/>
        </w:rPr>
        <w:t>108,5</w:t>
      </w:r>
    </w:p>
    <w:p w:rsidR="0077119B" w:rsidRDefault="00A55912" w:rsidP="00DB72EF">
      <w:pPr>
        <w:keepNext/>
        <w:spacing w:line="240" w:lineRule="auto"/>
        <w:jc w:val="both"/>
        <w:rPr>
          <w:sz w:val="22"/>
        </w:rPr>
      </w:pPr>
      <w:r w:rsidRPr="004B1E55">
        <w:rPr>
          <w:sz w:val="22"/>
        </w:rPr>
        <w:t xml:space="preserve">U razdoblju od siječnja do </w:t>
      </w:r>
      <w:r w:rsidR="00F95474" w:rsidRPr="004B1E55">
        <w:rPr>
          <w:sz w:val="22"/>
        </w:rPr>
        <w:t>prosinca</w:t>
      </w:r>
      <w:r w:rsidRPr="004B1E55">
        <w:rPr>
          <w:sz w:val="22"/>
        </w:rPr>
        <w:t xml:space="preserve"> 2025. godine izvršeni su prijenosi financijskih sredstava od strane Ministarstva znanosti, obrazovanja i mladih u iznosu od </w:t>
      </w:r>
      <w:r w:rsidR="00F95474" w:rsidRPr="004B1E55">
        <w:rPr>
          <w:sz w:val="22"/>
        </w:rPr>
        <w:t>10.173.480,22</w:t>
      </w:r>
      <w:r w:rsidRPr="004B1E55">
        <w:rPr>
          <w:sz w:val="22"/>
        </w:rPr>
        <w:t xml:space="preserve"> EUR za financiranje Redovne djelatnosti Sveučilišta Sjever (plaće zaposlenika, materijalna prava, prijevoz, sistematske preglede, naknadu za nezapošljavanje invalida) i prijenose programskog ugovora za akademsku godinu 2024./2025. </w:t>
      </w:r>
      <w:r w:rsidR="00F95474" w:rsidRPr="004B1E55">
        <w:rPr>
          <w:sz w:val="22"/>
        </w:rPr>
        <w:t>i 1. ratu ugovorenog iznosa financiranja programskog ugovora</w:t>
      </w:r>
      <w:r w:rsidR="004B1E55" w:rsidRPr="004B1E55">
        <w:rPr>
          <w:sz w:val="22"/>
        </w:rPr>
        <w:t xml:space="preserve"> u trajanju od 2025. – 2029.  </w:t>
      </w:r>
      <w:r w:rsidRPr="004B1E55">
        <w:rPr>
          <w:sz w:val="22"/>
        </w:rPr>
        <w:t>Bruto plaće su povećane radi promjene osnovice za obračun plaće u 2025. (3 promjene) - od 1.1.2025. do 31.1.2025. 947,18 eura bruto, - od 1.2.2025. do 31.8.2025. 975,60 eura bruto, - od 1.9.2025. pa nadalje 1.004,87 eura bruto</w:t>
      </w:r>
      <w:r w:rsidR="004B1E55">
        <w:rPr>
          <w:sz w:val="22"/>
        </w:rPr>
        <w:t>, primjene nove sistematizacije radnih mjesta i većeg broja</w:t>
      </w:r>
    </w:p>
    <w:p w:rsidR="00DB72EF" w:rsidRPr="00DB72EF" w:rsidRDefault="00DB72EF" w:rsidP="00DB72EF">
      <w:pPr>
        <w:keepNext/>
        <w:spacing w:line="240" w:lineRule="auto"/>
        <w:jc w:val="both"/>
        <w:rPr>
          <w:sz w:val="22"/>
        </w:rPr>
      </w:pPr>
    </w:p>
    <w:p w:rsidR="0077119B" w:rsidRPr="00881FA4" w:rsidRDefault="00881FA4" w:rsidP="00881FA4">
      <w:pPr>
        <w:keepNext/>
        <w:shd w:val="clear" w:color="auto" w:fill="FFFF00"/>
        <w:spacing w:line="240" w:lineRule="auto"/>
        <w:rPr>
          <w:b/>
          <w:sz w:val="22"/>
        </w:rPr>
      </w:pPr>
      <w:bookmarkStart w:id="1" w:name="_Hlk220535600"/>
      <w:r w:rsidRPr="00881FA4">
        <w:rPr>
          <w:b/>
          <w:sz w:val="22"/>
        </w:rPr>
        <w:t>31</w:t>
      </w:r>
      <w:r w:rsidR="00DB72EF" w:rsidRPr="00DB72EF">
        <w:rPr>
          <w:b/>
          <w:sz w:val="22"/>
        </w:rPr>
        <w:t xml:space="preserve"> – </w:t>
      </w:r>
      <w:r w:rsidRPr="00881FA4">
        <w:rPr>
          <w:sz w:val="22"/>
        </w:rPr>
        <w:t>Rashodi za zaposlene</w:t>
      </w:r>
      <w:r>
        <w:rPr>
          <w:sz w:val="22"/>
        </w:rPr>
        <w:t xml:space="preserve"> </w:t>
      </w:r>
      <w:r w:rsidR="00DB72EF" w:rsidRPr="00DB72EF">
        <w:rPr>
          <w:b/>
          <w:sz w:val="22"/>
        </w:rPr>
        <w:t xml:space="preserve"> (10.</w:t>
      </w:r>
      <w:r>
        <w:rPr>
          <w:b/>
          <w:sz w:val="22"/>
        </w:rPr>
        <w:t>024.602,52</w:t>
      </w:r>
      <w:r w:rsidR="00DB72EF" w:rsidRPr="00DB72EF">
        <w:rPr>
          <w:b/>
          <w:sz w:val="22"/>
        </w:rPr>
        <w:t xml:space="preserve"> EUR / </w:t>
      </w:r>
      <w:r>
        <w:rPr>
          <w:b/>
          <w:sz w:val="22"/>
        </w:rPr>
        <w:t>11.901896</w:t>
      </w:r>
      <w:r w:rsidR="00C71360">
        <w:rPr>
          <w:b/>
          <w:sz w:val="22"/>
        </w:rPr>
        <w:t>,</w:t>
      </w:r>
      <w:r>
        <w:rPr>
          <w:b/>
          <w:sz w:val="22"/>
        </w:rPr>
        <w:t>34</w:t>
      </w:r>
      <w:r w:rsidR="00DB72EF" w:rsidRPr="00DB72EF">
        <w:rPr>
          <w:b/>
          <w:sz w:val="22"/>
        </w:rPr>
        <w:t xml:space="preserve"> EUR) – indeks 1</w:t>
      </w:r>
      <w:r w:rsidR="00B84B6E">
        <w:rPr>
          <w:b/>
          <w:sz w:val="22"/>
        </w:rPr>
        <w:t>1</w:t>
      </w:r>
      <w:r w:rsidR="00DB72EF" w:rsidRPr="00DB72EF">
        <w:rPr>
          <w:b/>
          <w:sz w:val="22"/>
        </w:rPr>
        <w:t>8,</w:t>
      </w:r>
      <w:r w:rsidR="00B84B6E">
        <w:rPr>
          <w:b/>
          <w:sz w:val="22"/>
        </w:rPr>
        <w:t>9</w:t>
      </w:r>
    </w:p>
    <w:bookmarkEnd w:id="1"/>
    <w:p w:rsidR="0077119B" w:rsidRPr="00B84B6E" w:rsidRDefault="00A55912">
      <w:pPr>
        <w:spacing w:line="240" w:lineRule="auto"/>
        <w:jc w:val="both"/>
        <w:rPr>
          <w:sz w:val="22"/>
        </w:rPr>
      </w:pPr>
      <w:r w:rsidRPr="00B84B6E">
        <w:rPr>
          <w:sz w:val="22"/>
        </w:rPr>
        <w:t xml:space="preserve">Rashodi za zaposlene ostvareni su u iznosu od </w:t>
      </w:r>
      <w:r w:rsidR="00B84B6E" w:rsidRPr="00B84B6E">
        <w:rPr>
          <w:sz w:val="22"/>
        </w:rPr>
        <w:t>11.901.896,34</w:t>
      </w:r>
      <w:r w:rsidRPr="00B84B6E">
        <w:rPr>
          <w:sz w:val="22"/>
        </w:rPr>
        <w:t xml:space="preserve"> EUR, a odnose se na plaće zaposlenika i obvezna zakonska davanja za doprinose, plaće u naravi, plaće isplaćene za prekovremeni rad te materijalna prava zaposlenika (nagrade, darovi, otpremnine, regres, naknade za bolest, prehranu i ostala prava). Bruto plaće su povećane radi promjene osnovice za obračun plaće u 2025. (3 izmjene) - od 1.1.2025. do 31.1.2025. 947,18 eura bruto, - od 1.2.2025. do 31.8.2025. 975,60 eura bruto, - od 1.9.2025. pa nadalje 1.004,87 eura bruto.</w:t>
      </w:r>
      <w:r w:rsidR="00B84B6E" w:rsidRPr="00B84B6E">
        <w:rPr>
          <w:sz w:val="22"/>
        </w:rPr>
        <w:t xml:space="preserve"> U odnosu na prethodnu godinu, povećanje rashoda iznosi 1.877.293,82 EUR.</w:t>
      </w:r>
    </w:p>
    <w:p w:rsidR="0077119B" w:rsidRDefault="0077119B">
      <w:pPr>
        <w:rPr>
          <w:color w:val="FF0000"/>
          <w:sz w:val="22"/>
        </w:rPr>
      </w:pPr>
    </w:p>
    <w:p w:rsidR="0077119B" w:rsidRPr="005A6C06" w:rsidRDefault="005A6C06" w:rsidP="005A6C06">
      <w:pPr>
        <w:keepNext/>
        <w:shd w:val="clear" w:color="auto" w:fill="FFFF00"/>
        <w:spacing w:line="240" w:lineRule="auto"/>
        <w:rPr>
          <w:b/>
          <w:sz w:val="22"/>
        </w:rPr>
      </w:pPr>
      <w:r w:rsidRPr="00881FA4">
        <w:rPr>
          <w:b/>
          <w:sz w:val="22"/>
        </w:rPr>
        <w:t>3</w:t>
      </w:r>
      <w:r>
        <w:rPr>
          <w:b/>
          <w:sz w:val="22"/>
        </w:rPr>
        <w:t>1</w:t>
      </w:r>
      <w:r w:rsidRPr="00881FA4">
        <w:rPr>
          <w:b/>
          <w:sz w:val="22"/>
        </w:rPr>
        <w:t>1</w:t>
      </w:r>
      <w:r>
        <w:rPr>
          <w:b/>
          <w:sz w:val="22"/>
        </w:rPr>
        <w:t>3</w:t>
      </w:r>
      <w:r w:rsidRPr="00DB72EF">
        <w:rPr>
          <w:b/>
          <w:sz w:val="22"/>
        </w:rPr>
        <w:t xml:space="preserve"> – </w:t>
      </w:r>
      <w:r w:rsidRPr="00881FA4">
        <w:rPr>
          <w:sz w:val="22"/>
        </w:rPr>
        <w:t>Rashodi za zaposlene</w:t>
      </w:r>
      <w:r>
        <w:rPr>
          <w:sz w:val="22"/>
        </w:rPr>
        <w:t xml:space="preserve"> </w:t>
      </w:r>
      <w:r w:rsidRPr="00DB72EF">
        <w:rPr>
          <w:b/>
          <w:sz w:val="22"/>
        </w:rPr>
        <w:t xml:space="preserve"> (10.</w:t>
      </w:r>
      <w:r>
        <w:rPr>
          <w:b/>
          <w:sz w:val="22"/>
        </w:rPr>
        <w:t>024.602,52</w:t>
      </w:r>
      <w:r w:rsidRPr="00DB72EF">
        <w:rPr>
          <w:b/>
          <w:sz w:val="22"/>
        </w:rPr>
        <w:t xml:space="preserve"> EUR / </w:t>
      </w:r>
      <w:r>
        <w:rPr>
          <w:b/>
          <w:sz w:val="22"/>
        </w:rPr>
        <w:t>11.901</w:t>
      </w:r>
      <w:r w:rsidR="005627AC">
        <w:rPr>
          <w:b/>
          <w:sz w:val="22"/>
        </w:rPr>
        <w:t>.</w:t>
      </w:r>
      <w:r>
        <w:rPr>
          <w:b/>
          <w:sz w:val="22"/>
        </w:rPr>
        <w:t>896,34</w:t>
      </w:r>
      <w:r w:rsidRPr="00DB72EF">
        <w:rPr>
          <w:b/>
          <w:sz w:val="22"/>
        </w:rPr>
        <w:t xml:space="preserve"> EUR) – indeks 1</w:t>
      </w:r>
      <w:r>
        <w:rPr>
          <w:b/>
          <w:sz w:val="22"/>
        </w:rPr>
        <w:t>1</w:t>
      </w:r>
      <w:r w:rsidRPr="00DB72EF">
        <w:rPr>
          <w:b/>
          <w:sz w:val="22"/>
        </w:rPr>
        <w:t>8,</w:t>
      </w:r>
      <w:r>
        <w:rPr>
          <w:b/>
          <w:sz w:val="22"/>
        </w:rPr>
        <w:t>9</w:t>
      </w:r>
    </w:p>
    <w:p w:rsidR="0077119B" w:rsidRDefault="00A55912">
      <w:pPr>
        <w:spacing w:line="240" w:lineRule="auto"/>
        <w:jc w:val="both"/>
        <w:rPr>
          <w:sz w:val="22"/>
        </w:rPr>
      </w:pPr>
      <w:r w:rsidRPr="005A6C06">
        <w:rPr>
          <w:sz w:val="22"/>
        </w:rPr>
        <w:t xml:space="preserve">U Bilješkama uz financijske izvještaje želimo dati i osvrt na stavku povećanja konta Plaća za prekovremeni rad (indeks </w:t>
      </w:r>
      <w:r w:rsidR="005A6C06" w:rsidRPr="005A6C06">
        <w:rPr>
          <w:sz w:val="22"/>
        </w:rPr>
        <w:t>2.216,0</w:t>
      </w:r>
      <w:r w:rsidRPr="005A6C06">
        <w:rPr>
          <w:sz w:val="22"/>
        </w:rPr>
        <w:t>). Riječ je o isplati naknade za rad iznad punog nastavnog opterećenja nastavnom osoblju Sveučilišta za akademsku godinu 2023./2024. sukladno Odluci o obračunu i isplati za rad iznad punog nastavnog opterećenja za akademsku godinu 2023./2024. (KLASA: 121-01/25-01/05, URBROJ: 2186-0336-01-25-01). U prethodnim godinama naknade su isplaćivane početkom ili krajem proračunske godine.</w:t>
      </w:r>
    </w:p>
    <w:p w:rsidR="005627AC" w:rsidRPr="005A6C06" w:rsidRDefault="005627AC">
      <w:pPr>
        <w:spacing w:line="240" w:lineRule="auto"/>
        <w:jc w:val="both"/>
        <w:rPr>
          <w:sz w:val="22"/>
        </w:rPr>
      </w:pPr>
    </w:p>
    <w:p w:rsidR="005627AC" w:rsidRPr="005A6C06" w:rsidRDefault="005627AC" w:rsidP="005627AC">
      <w:pPr>
        <w:keepNext/>
        <w:shd w:val="clear" w:color="auto" w:fill="FFFF00"/>
        <w:spacing w:line="240" w:lineRule="auto"/>
        <w:rPr>
          <w:b/>
          <w:sz w:val="22"/>
        </w:rPr>
      </w:pPr>
      <w:r w:rsidRPr="00881FA4">
        <w:rPr>
          <w:b/>
          <w:sz w:val="22"/>
        </w:rPr>
        <w:t>3</w:t>
      </w:r>
      <w:r>
        <w:rPr>
          <w:b/>
          <w:sz w:val="22"/>
        </w:rPr>
        <w:t>214</w:t>
      </w:r>
      <w:r w:rsidRPr="00DB72EF">
        <w:rPr>
          <w:b/>
          <w:sz w:val="22"/>
        </w:rPr>
        <w:t xml:space="preserve"> – </w:t>
      </w:r>
      <w:r w:rsidR="00D94E96">
        <w:rPr>
          <w:sz w:val="22"/>
        </w:rPr>
        <w:t>Ostale naknade troškova zaposlenima</w:t>
      </w:r>
      <w:r>
        <w:rPr>
          <w:sz w:val="22"/>
        </w:rPr>
        <w:t xml:space="preserve"> </w:t>
      </w:r>
      <w:r w:rsidRPr="00DB72EF">
        <w:rPr>
          <w:b/>
          <w:sz w:val="22"/>
        </w:rPr>
        <w:t xml:space="preserve"> (1</w:t>
      </w:r>
      <w:r w:rsidR="00D94E96">
        <w:rPr>
          <w:b/>
          <w:sz w:val="22"/>
        </w:rPr>
        <w:t>10,00</w:t>
      </w:r>
      <w:r w:rsidRPr="00DB72EF">
        <w:rPr>
          <w:b/>
          <w:sz w:val="22"/>
        </w:rPr>
        <w:t xml:space="preserve"> EUR / </w:t>
      </w:r>
      <w:r w:rsidR="00D94E96">
        <w:rPr>
          <w:b/>
          <w:sz w:val="22"/>
        </w:rPr>
        <w:t>222,00</w:t>
      </w:r>
      <w:r w:rsidRPr="00DB72EF">
        <w:rPr>
          <w:b/>
          <w:sz w:val="22"/>
        </w:rPr>
        <w:t xml:space="preserve"> EUR) – indeks </w:t>
      </w:r>
      <w:r w:rsidR="00D94E96">
        <w:rPr>
          <w:b/>
          <w:sz w:val="22"/>
        </w:rPr>
        <w:t>201,8</w:t>
      </w:r>
    </w:p>
    <w:p w:rsidR="005B7224" w:rsidRDefault="00D94E96" w:rsidP="005B7224">
      <w:pPr>
        <w:jc w:val="both"/>
        <w:rPr>
          <w:sz w:val="22"/>
        </w:rPr>
      </w:pPr>
      <w:r w:rsidRPr="00D94E96">
        <w:rPr>
          <w:sz w:val="22"/>
        </w:rPr>
        <w:t>U 2025. godini nov</w:t>
      </w:r>
      <w:r>
        <w:rPr>
          <w:sz w:val="22"/>
        </w:rPr>
        <w:t>oj</w:t>
      </w:r>
      <w:r w:rsidRPr="00D94E96">
        <w:rPr>
          <w:sz w:val="22"/>
        </w:rPr>
        <w:t xml:space="preserve"> zaposlenic</w:t>
      </w:r>
      <w:r>
        <w:rPr>
          <w:sz w:val="22"/>
        </w:rPr>
        <w:t>i</w:t>
      </w:r>
      <w:r w:rsidRPr="00D94E96">
        <w:rPr>
          <w:sz w:val="22"/>
        </w:rPr>
        <w:t xml:space="preserve"> u Sveučilišnom centru Koprivnica</w:t>
      </w:r>
      <w:r>
        <w:rPr>
          <w:sz w:val="22"/>
        </w:rPr>
        <w:t xml:space="preserve"> Odlukom je odobreno pravo na povrat troškova korištenja privatnog automobila u službene svrhe, radi povećane potrebe</w:t>
      </w:r>
      <w:r w:rsidR="008F6ABA">
        <w:rPr>
          <w:sz w:val="22"/>
        </w:rPr>
        <w:t xml:space="preserve"> osobne dostave</w:t>
      </w:r>
      <w:r w:rsidR="005B7224">
        <w:rPr>
          <w:sz w:val="22"/>
        </w:rPr>
        <w:t xml:space="preserve"> </w:t>
      </w:r>
      <w:r w:rsidR="005B7224">
        <w:rPr>
          <w:sz w:val="22"/>
        </w:rPr>
        <w:lastRenderedPageBreak/>
        <w:t>ovršnih postupaka u Financijsku agenciju i sudjelovanje na koordinacijskim sastancima za gradnju studentskog doma u Koprivnici.</w:t>
      </w:r>
    </w:p>
    <w:p w:rsidR="007251E1" w:rsidRPr="00D94E96" w:rsidRDefault="007251E1" w:rsidP="005B7224">
      <w:pPr>
        <w:jc w:val="both"/>
        <w:rPr>
          <w:sz w:val="22"/>
        </w:rPr>
      </w:pPr>
    </w:p>
    <w:p w:rsidR="005B7224" w:rsidRPr="005A6C06" w:rsidRDefault="005B7224" w:rsidP="00634573">
      <w:pPr>
        <w:keepNext/>
        <w:shd w:val="clear" w:color="auto" w:fill="FFFF00"/>
        <w:spacing w:line="240" w:lineRule="auto"/>
        <w:jc w:val="both"/>
        <w:rPr>
          <w:b/>
          <w:sz w:val="22"/>
        </w:rPr>
      </w:pPr>
      <w:r w:rsidRPr="00881FA4">
        <w:rPr>
          <w:b/>
          <w:sz w:val="22"/>
        </w:rPr>
        <w:t>3</w:t>
      </w:r>
      <w:r>
        <w:rPr>
          <w:b/>
          <w:sz w:val="22"/>
        </w:rPr>
        <w:t>224</w:t>
      </w:r>
      <w:r w:rsidRPr="00DB72EF">
        <w:rPr>
          <w:b/>
          <w:sz w:val="22"/>
        </w:rPr>
        <w:t xml:space="preserve"> – </w:t>
      </w:r>
      <w:r>
        <w:rPr>
          <w:sz w:val="22"/>
        </w:rPr>
        <w:t xml:space="preserve">Materijal i dijelovi za tekuće i investicijsko održavanje </w:t>
      </w:r>
      <w:r w:rsidRPr="00DB72EF">
        <w:rPr>
          <w:b/>
          <w:sz w:val="22"/>
        </w:rPr>
        <w:t xml:space="preserve"> (</w:t>
      </w:r>
      <w:r>
        <w:rPr>
          <w:b/>
          <w:sz w:val="22"/>
        </w:rPr>
        <w:t>8.653,95</w:t>
      </w:r>
      <w:r w:rsidRPr="00DB72EF">
        <w:rPr>
          <w:b/>
          <w:sz w:val="22"/>
        </w:rPr>
        <w:t xml:space="preserve"> EUR / </w:t>
      </w:r>
      <w:r>
        <w:rPr>
          <w:b/>
          <w:sz w:val="22"/>
        </w:rPr>
        <w:t>2.805,67</w:t>
      </w:r>
      <w:r w:rsidRPr="00DB72EF">
        <w:rPr>
          <w:b/>
          <w:sz w:val="22"/>
        </w:rPr>
        <w:t xml:space="preserve"> EUR) – indeks </w:t>
      </w:r>
      <w:r>
        <w:rPr>
          <w:b/>
          <w:sz w:val="22"/>
        </w:rPr>
        <w:t>32,4</w:t>
      </w:r>
    </w:p>
    <w:p w:rsidR="0077119B" w:rsidRDefault="005B7224" w:rsidP="00634573">
      <w:pPr>
        <w:jc w:val="both"/>
        <w:rPr>
          <w:sz w:val="22"/>
        </w:rPr>
      </w:pPr>
      <w:r w:rsidRPr="00D6017A">
        <w:rPr>
          <w:sz w:val="22"/>
        </w:rPr>
        <w:t xml:space="preserve">U 2025. godini Sveučilište </w:t>
      </w:r>
      <w:r w:rsidR="00881F8D" w:rsidRPr="00D6017A">
        <w:rPr>
          <w:sz w:val="22"/>
        </w:rPr>
        <w:t xml:space="preserve">je smanjilo trošak </w:t>
      </w:r>
      <w:r w:rsidR="005B24B5" w:rsidRPr="00D6017A">
        <w:rPr>
          <w:sz w:val="22"/>
        </w:rPr>
        <w:t xml:space="preserve">investicijskog </w:t>
      </w:r>
      <w:r w:rsidR="00881F8D" w:rsidRPr="00D6017A">
        <w:rPr>
          <w:sz w:val="22"/>
        </w:rPr>
        <w:t xml:space="preserve">materijala, </w:t>
      </w:r>
      <w:r w:rsidR="005B24B5" w:rsidRPr="00D6017A">
        <w:rPr>
          <w:sz w:val="22"/>
        </w:rPr>
        <w:t>jer se glavnina troškova odnosila na čistu uslugu</w:t>
      </w:r>
      <w:r w:rsidR="00D6017A" w:rsidRPr="00D6017A">
        <w:rPr>
          <w:sz w:val="22"/>
        </w:rPr>
        <w:t xml:space="preserve"> investicijskog održavanja, a ne nabavu materijala.</w:t>
      </w:r>
    </w:p>
    <w:p w:rsidR="007251E1" w:rsidRPr="00D6017A" w:rsidRDefault="007251E1" w:rsidP="00634573">
      <w:pPr>
        <w:jc w:val="both"/>
        <w:rPr>
          <w:sz w:val="22"/>
        </w:rPr>
      </w:pPr>
    </w:p>
    <w:p w:rsidR="00634573" w:rsidRPr="00634573" w:rsidRDefault="00634573" w:rsidP="00634573">
      <w:pPr>
        <w:keepNext/>
        <w:shd w:val="clear" w:color="auto" w:fill="FFFF00"/>
        <w:spacing w:line="240" w:lineRule="auto"/>
        <w:jc w:val="both"/>
        <w:rPr>
          <w:b/>
          <w:sz w:val="22"/>
        </w:rPr>
      </w:pPr>
      <w:r w:rsidRPr="00634573">
        <w:rPr>
          <w:b/>
          <w:sz w:val="22"/>
        </w:rPr>
        <w:t xml:space="preserve">3227 – Službena, radna i zaštitna odjeća i obuća  (280,91 EUR / 1.835,53 EUR) – indeks </w:t>
      </w:r>
      <w:r>
        <w:rPr>
          <w:b/>
          <w:sz w:val="22"/>
        </w:rPr>
        <w:t>653,4</w:t>
      </w:r>
    </w:p>
    <w:p w:rsidR="005B7224" w:rsidRDefault="00634573" w:rsidP="00634573">
      <w:pPr>
        <w:jc w:val="both"/>
        <w:rPr>
          <w:sz w:val="22"/>
        </w:rPr>
      </w:pPr>
      <w:r>
        <w:rPr>
          <w:sz w:val="22"/>
        </w:rPr>
        <w:t xml:space="preserve">U 2025. godini pokrenuta je nabava veće količine zaštitne i radne odjeće i obuće za djelatnike na održavanju u Sveučilišnom centru Varaždin i Koprivnica te nabava zaštitnih kuta za korištenje u laboratorijima Odjela za prehrambenu tehnologiju. </w:t>
      </w:r>
    </w:p>
    <w:p w:rsidR="007251E1" w:rsidRDefault="007251E1" w:rsidP="007251E1">
      <w:pPr>
        <w:jc w:val="both"/>
        <w:rPr>
          <w:sz w:val="22"/>
        </w:rPr>
      </w:pPr>
    </w:p>
    <w:p w:rsidR="007251E1" w:rsidRPr="00634573" w:rsidRDefault="007251E1" w:rsidP="007251E1">
      <w:pPr>
        <w:keepNext/>
        <w:shd w:val="clear" w:color="auto" w:fill="FFFF00"/>
        <w:spacing w:line="240" w:lineRule="auto"/>
        <w:jc w:val="both"/>
        <w:rPr>
          <w:b/>
          <w:sz w:val="22"/>
        </w:rPr>
      </w:pPr>
      <w:r w:rsidRPr="00634573">
        <w:rPr>
          <w:b/>
          <w:sz w:val="22"/>
        </w:rPr>
        <w:t>32</w:t>
      </w:r>
      <w:r>
        <w:rPr>
          <w:b/>
          <w:sz w:val="22"/>
        </w:rPr>
        <w:t>36</w:t>
      </w:r>
      <w:r w:rsidRPr="00634573">
        <w:rPr>
          <w:b/>
          <w:sz w:val="22"/>
        </w:rPr>
        <w:t xml:space="preserve"> – </w:t>
      </w:r>
      <w:r>
        <w:rPr>
          <w:b/>
          <w:sz w:val="22"/>
        </w:rPr>
        <w:t>Zdravstvene i veterinarske usluge</w:t>
      </w:r>
      <w:r w:rsidRPr="00634573">
        <w:rPr>
          <w:b/>
          <w:sz w:val="22"/>
        </w:rPr>
        <w:t xml:space="preserve">  (</w:t>
      </w:r>
      <w:r>
        <w:rPr>
          <w:b/>
          <w:sz w:val="22"/>
        </w:rPr>
        <w:t>12.768,61</w:t>
      </w:r>
      <w:r w:rsidRPr="00634573">
        <w:rPr>
          <w:b/>
          <w:sz w:val="22"/>
        </w:rPr>
        <w:t xml:space="preserve"> EUR / </w:t>
      </w:r>
      <w:r>
        <w:rPr>
          <w:b/>
          <w:sz w:val="22"/>
        </w:rPr>
        <w:t>7.221,25</w:t>
      </w:r>
      <w:r w:rsidRPr="00634573">
        <w:rPr>
          <w:b/>
          <w:sz w:val="22"/>
        </w:rPr>
        <w:t xml:space="preserve"> EUR) – indeks </w:t>
      </w:r>
      <w:r>
        <w:rPr>
          <w:b/>
          <w:sz w:val="22"/>
        </w:rPr>
        <w:t>56,6</w:t>
      </w:r>
    </w:p>
    <w:p w:rsidR="007251E1" w:rsidRDefault="003D2024" w:rsidP="007251E1">
      <w:pPr>
        <w:jc w:val="both"/>
        <w:rPr>
          <w:sz w:val="22"/>
        </w:rPr>
      </w:pPr>
      <w:r w:rsidRPr="00521664">
        <w:rPr>
          <w:sz w:val="22"/>
        </w:rPr>
        <w:t>U 2025. godini smanjen</w:t>
      </w:r>
      <w:r w:rsidR="00521664" w:rsidRPr="00521664">
        <w:rPr>
          <w:sz w:val="22"/>
        </w:rPr>
        <w:t>o je sufinanciranje obveznih zdravstvenih sistematskih pregleda djelatnika radi smanjenog interesa djelatnika i prava koje djelatnici ostvaruju (djelatnici preko 50 godina svake druge godina, a djelatnici do 50 godina života svake tri).</w:t>
      </w:r>
    </w:p>
    <w:p w:rsidR="00D26D95" w:rsidRDefault="00D26D95" w:rsidP="007251E1">
      <w:pPr>
        <w:jc w:val="both"/>
        <w:rPr>
          <w:sz w:val="22"/>
        </w:rPr>
      </w:pPr>
    </w:p>
    <w:p w:rsidR="00D26D95" w:rsidRPr="00634573" w:rsidRDefault="00D26D95" w:rsidP="00D26D95">
      <w:pPr>
        <w:keepNext/>
        <w:shd w:val="clear" w:color="auto" w:fill="FFFF00"/>
        <w:spacing w:line="240" w:lineRule="auto"/>
        <w:jc w:val="both"/>
        <w:rPr>
          <w:b/>
          <w:sz w:val="22"/>
        </w:rPr>
      </w:pPr>
      <w:r w:rsidRPr="00634573">
        <w:rPr>
          <w:b/>
          <w:sz w:val="22"/>
        </w:rPr>
        <w:t>32</w:t>
      </w:r>
      <w:r w:rsidR="00BB23DD">
        <w:rPr>
          <w:b/>
          <w:sz w:val="22"/>
        </w:rPr>
        <w:t>38</w:t>
      </w:r>
      <w:r w:rsidRPr="00634573">
        <w:rPr>
          <w:b/>
          <w:sz w:val="22"/>
        </w:rPr>
        <w:t xml:space="preserve"> – </w:t>
      </w:r>
      <w:r w:rsidR="00BB23DD">
        <w:rPr>
          <w:b/>
          <w:sz w:val="22"/>
        </w:rPr>
        <w:t>Računalne usluge</w:t>
      </w:r>
      <w:r w:rsidRPr="00634573">
        <w:rPr>
          <w:b/>
          <w:sz w:val="22"/>
        </w:rPr>
        <w:t xml:space="preserve">  (</w:t>
      </w:r>
      <w:r w:rsidR="00BB23DD">
        <w:rPr>
          <w:b/>
          <w:sz w:val="22"/>
        </w:rPr>
        <w:t>15.857,20</w:t>
      </w:r>
      <w:r w:rsidRPr="00634573">
        <w:rPr>
          <w:b/>
          <w:sz w:val="22"/>
        </w:rPr>
        <w:t xml:space="preserve"> EUR / </w:t>
      </w:r>
      <w:r w:rsidR="00BB23DD">
        <w:rPr>
          <w:b/>
          <w:sz w:val="22"/>
        </w:rPr>
        <w:t>42.723,75</w:t>
      </w:r>
      <w:r w:rsidRPr="00634573">
        <w:rPr>
          <w:b/>
          <w:sz w:val="22"/>
        </w:rPr>
        <w:t xml:space="preserve"> EUR) – indeks </w:t>
      </w:r>
      <w:r w:rsidR="00BB23DD">
        <w:rPr>
          <w:b/>
          <w:sz w:val="22"/>
        </w:rPr>
        <w:t>269,4</w:t>
      </w:r>
    </w:p>
    <w:p w:rsidR="00396DD1" w:rsidRDefault="007B03D2" w:rsidP="007251E1">
      <w:pPr>
        <w:jc w:val="both"/>
        <w:rPr>
          <w:sz w:val="22"/>
        </w:rPr>
      </w:pPr>
      <w:r>
        <w:rPr>
          <w:sz w:val="22"/>
        </w:rPr>
        <w:t>Sveučilište u 2025. godini pokreće postupak nabave dodatn</w:t>
      </w:r>
      <w:r w:rsidR="00E01382">
        <w:rPr>
          <w:sz w:val="22"/>
        </w:rPr>
        <w:t>og</w:t>
      </w:r>
      <w:r>
        <w:rPr>
          <w:sz w:val="22"/>
        </w:rPr>
        <w:t xml:space="preserve"> računovodstveno-administrativn</w:t>
      </w:r>
      <w:r w:rsidR="00E01382">
        <w:rPr>
          <w:sz w:val="22"/>
        </w:rPr>
        <w:t>og</w:t>
      </w:r>
      <w:r>
        <w:rPr>
          <w:sz w:val="22"/>
        </w:rPr>
        <w:t xml:space="preserve"> programa Konto i nadogradnju postojećih</w:t>
      </w:r>
      <w:r w:rsidR="00E01382">
        <w:rPr>
          <w:sz w:val="22"/>
        </w:rPr>
        <w:t xml:space="preserve"> programa</w:t>
      </w:r>
      <w:r>
        <w:rPr>
          <w:sz w:val="22"/>
        </w:rPr>
        <w:t xml:space="preserve"> radi uvođenja digitalizacije putnih naloga i </w:t>
      </w:r>
      <w:proofErr w:type="spellStart"/>
      <w:r>
        <w:rPr>
          <w:sz w:val="22"/>
        </w:rPr>
        <w:t>eOdobravanja</w:t>
      </w:r>
      <w:proofErr w:type="spellEnd"/>
      <w:r>
        <w:rPr>
          <w:sz w:val="22"/>
        </w:rPr>
        <w:t xml:space="preserve"> računa i ostale dokumentacije. </w:t>
      </w:r>
      <w:r w:rsidR="00E01382">
        <w:rPr>
          <w:sz w:val="22"/>
        </w:rPr>
        <w:t>Nastavno na nadogradnju i uvođenje novih aplikativnih rješenja povećan je i cijena mjesečnog održavanja programa.</w:t>
      </w:r>
    </w:p>
    <w:p w:rsidR="00E01382" w:rsidRDefault="00E01382" w:rsidP="007251E1">
      <w:pPr>
        <w:jc w:val="both"/>
        <w:rPr>
          <w:sz w:val="22"/>
        </w:rPr>
      </w:pPr>
    </w:p>
    <w:p w:rsidR="00E01382" w:rsidRPr="00634573" w:rsidRDefault="00E01382" w:rsidP="00E01382">
      <w:pPr>
        <w:keepNext/>
        <w:shd w:val="clear" w:color="auto" w:fill="FFFF00"/>
        <w:spacing w:line="240" w:lineRule="auto"/>
        <w:jc w:val="both"/>
        <w:rPr>
          <w:b/>
          <w:sz w:val="22"/>
        </w:rPr>
      </w:pPr>
      <w:r w:rsidRPr="00634573">
        <w:rPr>
          <w:b/>
          <w:sz w:val="22"/>
        </w:rPr>
        <w:t>3</w:t>
      </w:r>
      <w:r>
        <w:rPr>
          <w:b/>
          <w:sz w:val="22"/>
        </w:rPr>
        <w:t>811</w:t>
      </w:r>
      <w:r w:rsidRPr="00634573">
        <w:rPr>
          <w:b/>
          <w:sz w:val="22"/>
        </w:rPr>
        <w:t xml:space="preserve"> – </w:t>
      </w:r>
      <w:r>
        <w:rPr>
          <w:b/>
          <w:sz w:val="22"/>
        </w:rPr>
        <w:t>Tekuće donacije u novcu</w:t>
      </w:r>
      <w:r w:rsidRPr="00634573">
        <w:rPr>
          <w:b/>
          <w:sz w:val="22"/>
        </w:rPr>
        <w:t xml:space="preserve">  (</w:t>
      </w:r>
      <w:r>
        <w:rPr>
          <w:b/>
          <w:sz w:val="22"/>
        </w:rPr>
        <w:t>16.592,66</w:t>
      </w:r>
      <w:r w:rsidRPr="00634573">
        <w:rPr>
          <w:b/>
          <w:sz w:val="22"/>
        </w:rPr>
        <w:t xml:space="preserve"> EUR / </w:t>
      </w:r>
      <w:r>
        <w:rPr>
          <w:b/>
          <w:sz w:val="22"/>
        </w:rPr>
        <w:t>796,33</w:t>
      </w:r>
      <w:r w:rsidRPr="00634573">
        <w:rPr>
          <w:b/>
          <w:sz w:val="22"/>
        </w:rPr>
        <w:t xml:space="preserve"> EUR) – indeks </w:t>
      </w:r>
      <w:r>
        <w:rPr>
          <w:b/>
          <w:sz w:val="22"/>
        </w:rPr>
        <w:t>4,8</w:t>
      </w:r>
    </w:p>
    <w:p w:rsidR="0077119B" w:rsidRPr="006C6EAD" w:rsidRDefault="00E01382" w:rsidP="006C6EAD">
      <w:pPr>
        <w:jc w:val="both"/>
        <w:rPr>
          <w:sz w:val="22"/>
        </w:rPr>
      </w:pPr>
      <w:r>
        <w:rPr>
          <w:sz w:val="22"/>
        </w:rPr>
        <w:t xml:space="preserve">U 2025. godini </w:t>
      </w:r>
      <w:r w:rsidR="007C2452">
        <w:rPr>
          <w:sz w:val="22"/>
        </w:rPr>
        <w:t xml:space="preserve">Studentski zbor Sveučilišta Sjever nije imao potvrđeno vodstvo, odnosno do kraja godine nisu odrađeni izbori za predstavnike u Studentskom zboru i studentskim vijećima. Posljedično, sredstva koje su bila rezervirana u Državnom proračunu Republike Hrvatske za 2025. godinu za provedbu natječaja za studentske udruge i udruženja nisu iskorištena jer natječaj nije proveden. Studentski zbor je napravio prijenos sredstava </w:t>
      </w:r>
      <w:r w:rsidR="00415612">
        <w:rPr>
          <w:sz w:val="22"/>
        </w:rPr>
        <w:t>sukladno Pravilniku</w:t>
      </w:r>
      <w:r w:rsidR="000E3C99">
        <w:rPr>
          <w:sz w:val="22"/>
        </w:rPr>
        <w:t xml:space="preserve"> Udruzi PEUF.</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40C6" w:rsidRPr="003840C6" w:rsidTr="003840C6">
        <w:trPr>
          <w:cantSplit/>
        </w:trPr>
        <w:tc>
          <w:tcPr>
            <w:tcW w:w="70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highlight w:val="yellow"/>
              </w:rPr>
            </w:pPr>
            <w:r w:rsidRPr="003840C6">
              <w:rPr>
                <w:b/>
                <w:sz w:val="20"/>
                <w:szCs w:val="20"/>
                <w:highlight w:val="yellow"/>
              </w:rPr>
              <w:t xml:space="preserve">Račun iz </w:t>
            </w:r>
            <w:proofErr w:type="spellStart"/>
            <w:r w:rsidRPr="003840C6">
              <w:rPr>
                <w:b/>
                <w:sz w:val="20"/>
                <w:szCs w:val="20"/>
                <w:highlight w:val="yellow"/>
              </w:rPr>
              <w:t>rač</w:t>
            </w:r>
            <w:proofErr w:type="spellEnd"/>
            <w:r w:rsidRPr="003840C6">
              <w:rPr>
                <w:b/>
                <w:sz w:val="20"/>
                <w:szCs w:val="20"/>
                <w:highlight w:val="yellow"/>
              </w:rPr>
              <w:t>. plana</w:t>
            </w:r>
          </w:p>
        </w:tc>
        <w:tc>
          <w:tcPr>
            <w:tcW w:w="318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highlight w:val="yellow"/>
              </w:rPr>
            </w:pPr>
            <w:r w:rsidRPr="003840C6">
              <w:rPr>
                <w:b/>
                <w:sz w:val="20"/>
                <w:szCs w:val="20"/>
                <w:highlight w:val="yellow"/>
              </w:rPr>
              <w:t>Opis stavke</w:t>
            </w:r>
          </w:p>
        </w:tc>
        <w:tc>
          <w:tcPr>
            <w:tcW w:w="70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highlight w:val="yellow"/>
              </w:rPr>
            </w:pPr>
            <w:r w:rsidRPr="003840C6">
              <w:rPr>
                <w:b/>
                <w:sz w:val="20"/>
                <w:szCs w:val="20"/>
                <w:highlight w:val="yellow"/>
              </w:rPr>
              <w:t>Šifra</w:t>
            </w:r>
          </w:p>
        </w:tc>
        <w:tc>
          <w:tcPr>
            <w:tcW w:w="186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highlight w:val="yellow"/>
              </w:rPr>
            </w:pPr>
            <w:r w:rsidRPr="003840C6">
              <w:rPr>
                <w:b/>
                <w:sz w:val="20"/>
                <w:szCs w:val="20"/>
                <w:highlight w:val="yellow"/>
              </w:rPr>
              <w:t>Ostvareno u izvještajnom razdoblju prethodne godine</w:t>
            </w:r>
          </w:p>
        </w:tc>
        <w:tc>
          <w:tcPr>
            <w:tcW w:w="186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highlight w:val="yellow"/>
              </w:rPr>
            </w:pPr>
            <w:r w:rsidRPr="003840C6">
              <w:rPr>
                <w:b/>
                <w:sz w:val="20"/>
                <w:szCs w:val="20"/>
                <w:highlight w:val="yellow"/>
              </w:rPr>
              <w:t>Ostvareno u izvještajnom razdoblju tekuće godine</w:t>
            </w:r>
          </w:p>
        </w:tc>
        <w:tc>
          <w:tcPr>
            <w:tcW w:w="700" w:type="dxa"/>
            <w:shd w:val="clear" w:color="auto" w:fill="FFFF00"/>
            <w:tcMar>
              <w:top w:w="0" w:type="dxa"/>
              <w:bottom w:w="0" w:type="dxa"/>
            </w:tcMar>
            <w:vAlign w:val="center"/>
          </w:tcPr>
          <w:p w:rsidR="0077119B" w:rsidRPr="003840C6" w:rsidRDefault="00A55912">
            <w:pPr>
              <w:keepNext/>
              <w:keepLines/>
              <w:spacing w:after="0" w:line="240" w:lineRule="auto"/>
              <w:jc w:val="center"/>
              <w:rPr>
                <w:sz w:val="20"/>
                <w:szCs w:val="20"/>
              </w:rPr>
            </w:pPr>
            <w:r w:rsidRPr="003840C6">
              <w:rPr>
                <w:b/>
                <w:sz w:val="20"/>
                <w:szCs w:val="20"/>
                <w:highlight w:val="yellow"/>
              </w:rPr>
              <w:t>Indeks (%)</w:t>
            </w:r>
          </w:p>
        </w:tc>
      </w:tr>
      <w:tr w:rsidR="0077119B" w:rsidRPr="003840C6">
        <w:trPr>
          <w:cantSplit/>
          <w:trHeight w:val="560"/>
        </w:trPr>
        <w:tc>
          <w:tcPr>
            <w:tcW w:w="700" w:type="dxa"/>
            <w:tcMar>
              <w:top w:w="0" w:type="dxa"/>
              <w:bottom w:w="0" w:type="dxa"/>
            </w:tcMar>
            <w:vAlign w:val="center"/>
          </w:tcPr>
          <w:p w:rsidR="0077119B" w:rsidRPr="003840C6" w:rsidRDefault="0077119B">
            <w:pPr>
              <w:keepNext/>
              <w:keepLines/>
              <w:spacing w:after="0" w:line="240" w:lineRule="auto"/>
              <w:rPr>
                <w:sz w:val="20"/>
                <w:szCs w:val="20"/>
              </w:rPr>
            </w:pPr>
          </w:p>
        </w:tc>
        <w:tc>
          <w:tcPr>
            <w:tcW w:w="3180" w:type="dxa"/>
            <w:tcMar>
              <w:top w:w="0" w:type="dxa"/>
              <w:bottom w:w="0" w:type="dxa"/>
            </w:tcMar>
            <w:vAlign w:val="center"/>
          </w:tcPr>
          <w:p w:rsidR="0077119B" w:rsidRPr="003840C6" w:rsidRDefault="00A55912">
            <w:pPr>
              <w:keepNext/>
              <w:keepLines/>
              <w:spacing w:after="0" w:line="240" w:lineRule="auto"/>
              <w:rPr>
                <w:sz w:val="20"/>
                <w:szCs w:val="20"/>
              </w:rPr>
            </w:pPr>
            <w:r w:rsidRPr="003840C6">
              <w:rPr>
                <w:sz w:val="20"/>
                <w:szCs w:val="20"/>
              </w:rPr>
              <w:t>Povećanje zaliha proizvodnje i gotovih proizvoda (šifre Z002-Z001)</w:t>
            </w:r>
          </w:p>
        </w:tc>
        <w:tc>
          <w:tcPr>
            <w:tcW w:w="700" w:type="dxa"/>
            <w:tcMar>
              <w:top w:w="0" w:type="dxa"/>
              <w:bottom w:w="0" w:type="dxa"/>
            </w:tcMar>
            <w:vAlign w:val="center"/>
          </w:tcPr>
          <w:p w:rsidR="0077119B" w:rsidRPr="003840C6" w:rsidRDefault="00A55912">
            <w:pPr>
              <w:keepNext/>
              <w:keepLines/>
              <w:spacing w:after="0" w:line="240" w:lineRule="auto"/>
              <w:rPr>
                <w:sz w:val="20"/>
                <w:szCs w:val="20"/>
              </w:rPr>
            </w:pPr>
            <w:r w:rsidRPr="003840C6">
              <w:rPr>
                <w:sz w:val="20"/>
                <w:szCs w:val="20"/>
              </w:rPr>
              <w:t>Z003</w:t>
            </w:r>
          </w:p>
        </w:tc>
        <w:tc>
          <w:tcPr>
            <w:tcW w:w="1860" w:type="dxa"/>
            <w:tcMar>
              <w:top w:w="0" w:type="dxa"/>
              <w:bottom w:w="0" w:type="dxa"/>
            </w:tcMar>
            <w:vAlign w:val="center"/>
          </w:tcPr>
          <w:p w:rsidR="0077119B" w:rsidRPr="003840C6" w:rsidRDefault="006C6EAD">
            <w:pPr>
              <w:keepNext/>
              <w:keepLines/>
              <w:spacing w:after="0" w:line="240" w:lineRule="auto"/>
              <w:jc w:val="right"/>
              <w:rPr>
                <w:sz w:val="20"/>
                <w:szCs w:val="20"/>
              </w:rPr>
            </w:pPr>
            <w:r>
              <w:rPr>
                <w:sz w:val="20"/>
                <w:szCs w:val="20"/>
              </w:rPr>
              <w:t>0,00</w:t>
            </w:r>
          </w:p>
        </w:tc>
        <w:tc>
          <w:tcPr>
            <w:tcW w:w="1860" w:type="dxa"/>
            <w:tcMar>
              <w:top w:w="0" w:type="dxa"/>
              <w:bottom w:w="0" w:type="dxa"/>
            </w:tcMar>
            <w:vAlign w:val="center"/>
          </w:tcPr>
          <w:p w:rsidR="0077119B" w:rsidRPr="003840C6" w:rsidRDefault="006C6EAD">
            <w:pPr>
              <w:keepNext/>
              <w:keepLines/>
              <w:spacing w:after="0" w:line="240" w:lineRule="auto"/>
              <w:jc w:val="right"/>
              <w:rPr>
                <w:sz w:val="20"/>
                <w:szCs w:val="20"/>
              </w:rPr>
            </w:pPr>
            <w:r>
              <w:rPr>
                <w:sz w:val="20"/>
                <w:szCs w:val="20"/>
              </w:rPr>
              <w:t>9.172,01</w:t>
            </w:r>
          </w:p>
        </w:tc>
        <w:tc>
          <w:tcPr>
            <w:tcW w:w="700" w:type="dxa"/>
            <w:tcMar>
              <w:top w:w="0" w:type="dxa"/>
              <w:bottom w:w="0" w:type="dxa"/>
            </w:tcMar>
            <w:vAlign w:val="center"/>
          </w:tcPr>
          <w:p w:rsidR="0077119B" w:rsidRPr="003840C6" w:rsidRDefault="006C6EAD">
            <w:pPr>
              <w:keepNext/>
              <w:keepLines/>
              <w:spacing w:after="0" w:line="240" w:lineRule="auto"/>
              <w:jc w:val="right"/>
              <w:rPr>
                <w:sz w:val="20"/>
                <w:szCs w:val="20"/>
              </w:rPr>
            </w:pPr>
            <w:r>
              <w:rPr>
                <w:sz w:val="20"/>
                <w:szCs w:val="20"/>
              </w:rPr>
              <w:t>-</w:t>
            </w:r>
          </w:p>
        </w:tc>
      </w:tr>
    </w:tbl>
    <w:p w:rsidR="0077119B" w:rsidRPr="00A278AA" w:rsidRDefault="0077119B">
      <w:pPr>
        <w:spacing w:after="0"/>
        <w:rPr>
          <w:color w:val="FF0000"/>
          <w:sz w:val="22"/>
        </w:rPr>
      </w:pPr>
    </w:p>
    <w:p w:rsidR="009C02A0" w:rsidRPr="009C02A0" w:rsidRDefault="009C02A0" w:rsidP="009C02A0">
      <w:pPr>
        <w:spacing w:after="0"/>
        <w:jc w:val="both"/>
        <w:rPr>
          <w:rFonts w:cs="Times New Roman"/>
          <w:b/>
          <w:szCs w:val="24"/>
          <w:highlight w:val="yellow"/>
        </w:rPr>
      </w:pPr>
      <w:r w:rsidRPr="008421BA">
        <w:rPr>
          <w:rFonts w:cs="Times New Roman"/>
          <w:b/>
          <w:szCs w:val="24"/>
          <w:highlight w:val="yellow"/>
        </w:rPr>
        <w:t>PROIZVODNJA U TIJEKU I GOTOVIH PROIZVODA</w:t>
      </w:r>
    </w:p>
    <w:p w:rsidR="009C02A0" w:rsidRPr="009C02A0" w:rsidRDefault="00A55912" w:rsidP="009C02A0">
      <w:pPr>
        <w:spacing w:line="240" w:lineRule="auto"/>
        <w:jc w:val="both"/>
        <w:rPr>
          <w:sz w:val="22"/>
        </w:rPr>
      </w:pPr>
      <w:r w:rsidRPr="006C6EAD">
        <w:rPr>
          <w:sz w:val="22"/>
        </w:rPr>
        <w:t xml:space="preserve">Ukupni rashodi poslovanja umanjeni su za učinak povećanja zaliha proizvodnje i gotovih proizvoda u iznosu od </w:t>
      </w:r>
      <w:r w:rsidR="006C6EAD" w:rsidRPr="006C6EAD">
        <w:rPr>
          <w:sz w:val="22"/>
        </w:rPr>
        <w:t>9.172,01</w:t>
      </w:r>
      <w:r w:rsidRPr="006C6EAD">
        <w:rPr>
          <w:sz w:val="22"/>
        </w:rPr>
        <w:t xml:space="preserve"> EUR</w:t>
      </w:r>
      <w:r w:rsidR="003078E3">
        <w:rPr>
          <w:sz w:val="22"/>
        </w:rPr>
        <w:t xml:space="preserve"> (stanje zaliha na dan 01.01.2025. iznosio je 57.988,53 EUR, a na dan 31.12.2025. 67.160,54 EUR).</w:t>
      </w:r>
      <w:r w:rsidR="009C02A0">
        <w:rPr>
          <w:sz w:val="22"/>
        </w:rPr>
        <w:t xml:space="preserve"> </w:t>
      </w:r>
      <w:r w:rsidR="009C02A0" w:rsidRPr="008421BA">
        <w:rPr>
          <w:rFonts w:cs="Times New Roman"/>
          <w:szCs w:val="24"/>
        </w:rPr>
        <w:t xml:space="preserve">Sveučilište Sjever računovodstveno prati promjenu vrijednosti zaliha, što izravno utječe na rashode i rezultat poslovanja. Početkom proračunske godine </w:t>
      </w:r>
      <w:r w:rsidR="009C02A0" w:rsidRPr="008421BA">
        <w:rPr>
          <w:rFonts w:cs="Times New Roman"/>
          <w:szCs w:val="24"/>
        </w:rPr>
        <w:lastRenderedPageBreak/>
        <w:t xml:space="preserve">(01.01.2025.) stanje gotovih proizvoda iznosilo je 57.988,53 EUR, a završno stanje (31.12.2025.) iznosi 67.160,54 EUR. Navedeno povećanje zaliha (+9.172,01 EUR) smanjuje rashode prodanih proizvoda. </w:t>
      </w:r>
      <w:r w:rsidR="009C02A0" w:rsidRPr="008421BA">
        <w:rPr>
          <w:rFonts w:cs="Times New Roman"/>
          <w:szCs w:val="24"/>
          <w:shd w:val="clear" w:color="auto" w:fill="FFFFFF"/>
        </w:rPr>
        <w:t>Evidenciju proizvodnje obuhvaća troškove po fazama, kalkulacije cijena i razlike u zalihama na početku i kraju razdoblja.</w:t>
      </w:r>
      <w:r w:rsidR="009C02A0" w:rsidRPr="008421BA">
        <w:rPr>
          <w:rStyle w:val="vkekvd"/>
          <w:rFonts w:cs="Times New Roman"/>
          <w:szCs w:val="24"/>
          <w:shd w:val="clear" w:color="auto" w:fill="FFFFFF"/>
        </w:rPr>
        <w:t> </w:t>
      </w:r>
    </w:p>
    <w:p w:rsidR="003078E3" w:rsidRPr="006C6EAD" w:rsidRDefault="003078E3">
      <w:pPr>
        <w:spacing w:line="240" w:lineRule="auto"/>
        <w:jc w:val="both"/>
        <w:rPr>
          <w:sz w:val="22"/>
        </w:rPr>
      </w:pPr>
    </w:p>
    <w:p w:rsidR="003078E3" w:rsidRPr="00634573" w:rsidRDefault="003078E3" w:rsidP="003078E3">
      <w:pPr>
        <w:keepNext/>
        <w:shd w:val="clear" w:color="auto" w:fill="FFFF00"/>
        <w:spacing w:line="240" w:lineRule="auto"/>
        <w:jc w:val="both"/>
        <w:rPr>
          <w:b/>
          <w:sz w:val="22"/>
        </w:rPr>
      </w:pPr>
      <w:r>
        <w:rPr>
          <w:b/>
          <w:sz w:val="22"/>
        </w:rPr>
        <w:t>9661</w:t>
      </w:r>
      <w:r w:rsidRPr="00634573">
        <w:rPr>
          <w:b/>
          <w:sz w:val="22"/>
        </w:rPr>
        <w:t xml:space="preserve"> – </w:t>
      </w:r>
      <w:r>
        <w:rPr>
          <w:b/>
          <w:sz w:val="22"/>
        </w:rPr>
        <w:t>Prihodi od prodaje proizvoda i roba i pruženih usluga - nenaplaćeni</w:t>
      </w:r>
      <w:r w:rsidRPr="00634573">
        <w:rPr>
          <w:b/>
          <w:sz w:val="22"/>
        </w:rPr>
        <w:t xml:space="preserve">  (</w:t>
      </w:r>
      <w:r>
        <w:rPr>
          <w:b/>
          <w:sz w:val="22"/>
        </w:rPr>
        <w:t>299,88</w:t>
      </w:r>
      <w:r w:rsidRPr="00634573">
        <w:rPr>
          <w:b/>
          <w:sz w:val="22"/>
        </w:rPr>
        <w:t xml:space="preserve"> EUR / </w:t>
      </w:r>
      <w:r>
        <w:rPr>
          <w:b/>
          <w:sz w:val="22"/>
        </w:rPr>
        <w:t xml:space="preserve">10.598,56 </w:t>
      </w:r>
      <w:r w:rsidRPr="00634573">
        <w:rPr>
          <w:b/>
          <w:sz w:val="22"/>
        </w:rPr>
        <w:t xml:space="preserve">EUR) – indeks </w:t>
      </w:r>
      <w:r>
        <w:rPr>
          <w:b/>
          <w:sz w:val="22"/>
        </w:rPr>
        <w:t>3.534,30</w:t>
      </w:r>
    </w:p>
    <w:p w:rsidR="0077119B" w:rsidRPr="003078E3" w:rsidRDefault="003078E3" w:rsidP="003078E3">
      <w:pPr>
        <w:jc w:val="both"/>
        <w:rPr>
          <w:sz w:val="22"/>
        </w:rPr>
      </w:pPr>
      <w:r w:rsidRPr="003078E3">
        <w:rPr>
          <w:sz w:val="22"/>
        </w:rPr>
        <w:t>Sveučilište je krajem proračunske godine izdalo 2 računa za izrađene prometne studije</w:t>
      </w:r>
      <w:r>
        <w:rPr>
          <w:sz w:val="22"/>
        </w:rPr>
        <w:t xml:space="preserve"> od </w:t>
      </w:r>
      <w:r w:rsidR="00AE03D5">
        <w:rPr>
          <w:sz w:val="22"/>
        </w:rPr>
        <w:t xml:space="preserve">strane </w:t>
      </w:r>
      <w:r>
        <w:rPr>
          <w:sz w:val="22"/>
        </w:rPr>
        <w:t xml:space="preserve">zaposlenika Odjela za logistiku i </w:t>
      </w:r>
      <w:r w:rsidR="00AE03D5">
        <w:rPr>
          <w:sz w:val="22"/>
        </w:rPr>
        <w:t>održivu mobilnost koje će biti naplaćene u 2026. godini.</w:t>
      </w:r>
    </w:p>
    <w:p w:rsidR="0077119B" w:rsidRPr="00A278AA" w:rsidRDefault="0077119B" w:rsidP="00AE03D5">
      <w:pPr>
        <w:keepNext/>
        <w:spacing w:line="240" w:lineRule="auto"/>
        <w:rPr>
          <w:color w:val="FF0000"/>
          <w:sz w:val="22"/>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E03D5" w:rsidRPr="00AE03D5" w:rsidTr="00AE03D5">
        <w:trPr>
          <w:cantSplit/>
        </w:trPr>
        <w:tc>
          <w:tcPr>
            <w:tcW w:w="70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 xml:space="preserve">Račun iz </w:t>
            </w:r>
            <w:proofErr w:type="spellStart"/>
            <w:r w:rsidRPr="00AE03D5">
              <w:rPr>
                <w:b/>
                <w:sz w:val="22"/>
              </w:rPr>
              <w:t>rač</w:t>
            </w:r>
            <w:proofErr w:type="spellEnd"/>
            <w:r w:rsidRPr="00AE03D5">
              <w:rPr>
                <w:b/>
                <w:sz w:val="22"/>
              </w:rPr>
              <w:t>. plana</w:t>
            </w:r>
          </w:p>
        </w:tc>
        <w:tc>
          <w:tcPr>
            <w:tcW w:w="318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Opis stavke</w:t>
            </w:r>
          </w:p>
        </w:tc>
        <w:tc>
          <w:tcPr>
            <w:tcW w:w="70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Šifra</w:t>
            </w:r>
          </w:p>
        </w:tc>
        <w:tc>
          <w:tcPr>
            <w:tcW w:w="186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Ostvareno u izvještajnom razdoblju prethodne godine</w:t>
            </w:r>
          </w:p>
        </w:tc>
        <w:tc>
          <w:tcPr>
            <w:tcW w:w="186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Ostvareno u izvještajnom razdoblju tekuće godine</w:t>
            </w:r>
          </w:p>
        </w:tc>
        <w:tc>
          <w:tcPr>
            <w:tcW w:w="700" w:type="dxa"/>
            <w:shd w:val="clear" w:color="auto" w:fill="FFFF00"/>
            <w:tcMar>
              <w:top w:w="0" w:type="dxa"/>
              <w:bottom w:w="0" w:type="dxa"/>
            </w:tcMar>
            <w:vAlign w:val="center"/>
          </w:tcPr>
          <w:p w:rsidR="0077119B" w:rsidRPr="00AE03D5" w:rsidRDefault="00A55912">
            <w:pPr>
              <w:keepNext/>
              <w:keepLines/>
              <w:spacing w:after="0" w:line="240" w:lineRule="auto"/>
              <w:jc w:val="center"/>
              <w:rPr>
                <w:sz w:val="22"/>
              </w:rPr>
            </w:pPr>
            <w:r w:rsidRPr="00AE03D5">
              <w:rPr>
                <w:b/>
                <w:sz w:val="22"/>
              </w:rPr>
              <w:t>Indeks (%)</w:t>
            </w:r>
          </w:p>
        </w:tc>
      </w:tr>
      <w:tr w:rsidR="0077119B" w:rsidRPr="00AE03D5">
        <w:trPr>
          <w:cantSplit/>
          <w:trHeight w:val="560"/>
        </w:trPr>
        <w:tc>
          <w:tcPr>
            <w:tcW w:w="700" w:type="dxa"/>
            <w:tcMar>
              <w:top w:w="0" w:type="dxa"/>
              <w:bottom w:w="0" w:type="dxa"/>
            </w:tcMar>
            <w:vAlign w:val="center"/>
          </w:tcPr>
          <w:p w:rsidR="0077119B" w:rsidRPr="00AE03D5" w:rsidRDefault="00A55912">
            <w:pPr>
              <w:keepNext/>
              <w:keepLines/>
              <w:spacing w:after="0" w:line="240" w:lineRule="auto"/>
              <w:rPr>
                <w:sz w:val="22"/>
              </w:rPr>
            </w:pPr>
            <w:r w:rsidRPr="00AE03D5">
              <w:rPr>
                <w:sz w:val="22"/>
              </w:rPr>
              <w:t>412</w:t>
            </w:r>
          </w:p>
        </w:tc>
        <w:tc>
          <w:tcPr>
            <w:tcW w:w="3180" w:type="dxa"/>
            <w:tcMar>
              <w:top w:w="0" w:type="dxa"/>
              <w:bottom w:w="0" w:type="dxa"/>
            </w:tcMar>
            <w:vAlign w:val="center"/>
          </w:tcPr>
          <w:p w:rsidR="0077119B" w:rsidRPr="00AE03D5" w:rsidRDefault="00A55912">
            <w:pPr>
              <w:keepNext/>
              <w:keepLines/>
              <w:spacing w:after="0" w:line="240" w:lineRule="auto"/>
              <w:rPr>
                <w:sz w:val="22"/>
              </w:rPr>
            </w:pPr>
            <w:r w:rsidRPr="00AE03D5">
              <w:rPr>
                <w:sz w:val="22"/>
              </w:rPr>
              <w:t>Nematerijalna imovina (šifre 4121 do 4126)</w:t>
            </w:r>
          </w:p>
        </w:tc>
        <w:tc>
          <w:tcPr>
            <w:tcW w:w="700" w:type="dxa"/>
            <w:tcMar>
              <w:top w:w="0" w:type="dxa"/>
              <w:bottom w:w="0" w:type="dxa"/>
            </w:tcMar>
            <w:vAlign w:val="center"/>
          </w:tcPr>
          <w:p w:rsidR="0077119B" w:rsidRPr="00AE03D5" w:rsidRDefault="00A55912">
            <w:pPr>
              <w:keepNext/>
              <w:keepLines/>
              <w:spacing w:after="0" w:line="240" w:lineRule="auto"/>
              <w:rPr>
                <w:sz w:val="22"/>
              </w:rPr>
            </w:pPr>
            <w:r w:rsidRPr="00AE03D5">
              <w:rPr>
                <w:sz w:val="22"/>
              </w:rPr>
              <w:t>412</w:t>
            </w:r>
          </w:p>
        </w:tc>
        <w:tc>
          <w:tcPr>
            <w:tcW w:w="1860" w:type="dxa"/>
            <w:tcMar>
              <w:top w:w="0" w:type="dxa"/>
              <w:bottom w:w="0" w:type="dxa"/>
            </w:tcMar>
            <w:vAlign w:val="center"/>
          </w:tcPr>
          <w:p w:rsidR="0077119B" w:rsidRPr="00AE03D5" w:rsidRDefault="00A55912">
            <w:pPr>
              <w:keepNext/>
              <w:keepLines/>
              <w:spacing w:after="0" w:line="240" w:lineRule="auto"/>
              <w:jc w:val="right"/>
              <w:rPr>
                <w:sz w:val="22"/>
              </w:rPr>
            </w:pPr>
            <w:r w:rsidRPr="00AE03D5">
              <w:rPr>
                <w:sz w:val="22"/>
              </w:rPr>
              <w:t>2</w:t>
            </w:r>
            <w:r w:rsidR="00AE03D5">
              <w:rPr>
                <w:sz w:val="22"/>
              </w:rPr>
              <w:t>51.811,73</w:t>
            </w:r>
          </w:p>
        </w:tc>
        <w:tc>
          <w:tcPr>
            <w:tcW w:w="1860" w:type="dxa"/>
            <w:tcMar>
              <w:top w:w="0" w:type="dxa"/>
              <w:bottom w:w="0" w:type="dxa"/>
            </w:tcMar>
            <w:vAlign w:val="center"/>
          </w:tcPr>
          <w:p w:rsidR="0077119B" w:rsidRPr="00AE03D5" w:rsidRDefault="00AE03D5">
            <w:pPr>
              <w:keepNext/>
              <w:keepLines/>
              <w:spacing w:after="0" w:line="240" w:lineRule="auto"/>
              <w:jc w:val="right"/>
              <w:rPr>
                <w:sz w:val="22"/>
              </w:rPr>
            </w:pPr>
            <w:r>
              <w:rPr>
                <w:sz w:val="22"/>
              </w:rPr>
              <w:t>824.314,43</w:t>
            </w:r>
          </w:p>
        </w:tc>
        <w:tc>
          <w:tcPr>
            <w:tcW w:w="700" w:type="dxa"/>
            <w:tcMar>
              <w:top w:w="0" w:type="dxa"/>
              <w:bottom w:w="0" w:type="dxa"/>
            </w:tcMar>
            <w:vAlign w:val="center"/>
          </w:tcPr>
          <w:p w:rsidR="0077119B" w:rsidRPr="00AE03D5" w:rsidRDefault="00AE03D5">
            <w:pPr>
              <w:keepNext/>
              <w:keepLines/>
              <w:spacing w:after="0" w:line="240" w:lineRule="auto"/>
              <w:jc w:val="right"/>
              <w:rPr>
                <w:sz w:val="22"/>
              </w:rPr>
            </w:pPr>
            <w:r>
              <w:rPr>
                <w:sz w:val="22"/>
              </w:rPr>
              <w:t>327,4</w:t>
            </w:r>
          </w:p>
        </w:tc>
      </w:tr>
    </w:tbl>
    <w:p w:rsidR="0077119B" w:rsidRPr="00AE03D5" w:rsidRDefault="0077119B">
      <w:pPr>
        <w:spacing w:after="0"/>
        <w:rPr>
          <w:sz w:val="22"/>
        </w:rPr>
      </w:pPr>
    </w:p>
    <w:p w:rsidR="0077119B" w:rsidRPr="00AE03D5" w:rsidRDefault="00A55912">
      <w:pPr>
        <w:spacing w:line="240" w:lineRule="auto"/>
        <w:jc w:val="both"/>
        <w:rPr>
          <w:sz w:val="22"/>
        </w:rPr>
      </w:pPr>
      <w:r w:rsidRPr="00AE03D5">
        <w:rPr>
          <w:sz w:val="22"/>
        </w:rPr>
        <w:t>U izvještajnom razdoblju 2025. godine financirana je nabava licenci i softvera sukladno Planu nabave za 2025. godinu, ali je u 2024. godini za istu namjenu izdvojen manji iznos financiranja (odnosno u 2025. realiziran je veći broj pojedinačnih nabava).</w:t>
      </w:r>
      <w:r w:rsidR="00AE03D5" w:rsidRPr="00AE03D5">
        <w:rPr>
          <w:sz w:val="22"/>
        </w:rPr>
        <w:t xml:space="preserve"> Na navedenom kontu najveću stavku čini kapitalno ulaganje izgradnje i uređenja studentskog doma u Koprivnici koji je sufinanciran od strane Ministarstva znanosti i mladih sukladno ispostavljenim mjesečnim privremenim situacijama. U spomenutu kategoriju ulazi i trošak nadogradnje dizalice topline u zgradi UNIN_2 u Sveučilišnom centru Varaždin.</w:t>
      </w:r>
    </w:p>
    <w:p w:rsidR="0077119B" w:rsidRPr="00A278AA" w:rsidRDefault="0077119B" w:rsidP="000627AB">
      <w:pPr>
        <w:keepNext/>
        <w:spacing w:line="240" w:lineRule="auto"/>
        <w:rPr>
          <w:color w:val="FF0000"/>
          <w:sz w:val="22"/>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27AB" w:rsidRPr="000627AB" w:rsidTr="000627AB">
        <w:trPr>
          <w:cantSplit/>
        </w:trPr>
        <w:tc>
          <w:tcPr>
            <w:tcW w:w="70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 xml:space="preserve">Račun iz </w:t>
            </w:r>
            <w:proofErr w:type="spellStart"/>
            <w:r w:rsidRPr="000627AB">
              <w:rPr>
                <w:b/>
                <w:sz w:val="22"/>
              </w:rPr>
              <w:t>rač</w:t>
            </w:r>
            <w:proofErr w:type="spellEnd"/>
            <w:r w:rsidRPr="000627AB">
              <w:rPr>
                <w:b/>
                <w:sz w:val="22"/>
              </w:rPr>
              <w:t>. plana</w:t>
            </w:r>
          </w:p>
        </w:tc>
        <w:tc>
          <w:tcPr>
            <w:tcW w:w="318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Opis stavke</w:t>
            </w:r>
          </w:p>
        </w:tc>
        <w:tc>
          <w:tcPr>
            <w:tcW w:w="70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Šifra</w:t>
            </w:r>
          </w:p>
        </w:tc>
        <w:tc>
          <w:tcPr>
            <w:tcW w:w="186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Ostvareno u izvještajnom razdoblju prethodne godine</w:t>
            </w:r>
          </w:p>
        </w:tc>
        <w:tc>
          <w:tcPr>
            <w:tcW w:w="186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Ostvareno u izvještajnom razdoblju tekuće godine</w:t>
            </w:r>
          </w:p>
        </w:tc>
        <w:tc>
          <w:tcPr>
            <w:tcW w:w="700" w:type="dxa"/>
            <w:shd w:val="clear" w:color="auto" w:fill="FFFF00"/>
            <w:tcMar>
              <w:top w:w="0" w:type="dxa"/>
              <w:bottom w:w="0" w:type="dxa"/>
            </w:tcMar>
            <w:vAlign w:val="center"/>
          </w:tcPr>
          <w:p w:rsidR="0077119B" w:rsidRPr="000627AB" w:rsidRDefault="00A55912">
            <w:pPr>
              <w:keepNext/>
              <w:keepLines/>
              <w:spacing w:after="0" w:line="240" w:lineRule="auto"/>
              <w:jc w:val="center"/>
              <w:rPr>
                <w:sz w:val="22"/>
              </w:rPr>
            </w:pPr>
            <w:r w:rsidRPr="000627AB">
              <w:rPr>
                <w:b/>
                <w:sz w:val="22"/>
              </w:rPr>
              <w:t>Indeks (%)</w:t>
            </w:r>
          </w:p>
        </w:tc>
      </w:tr>
      <w:tr w:rsidR="0077119B" w:rsidRPr="000627AB">
        <w:trPr>
          <w:cantSplit/>
          <w:trHeight w:val="560"/>
        </w:trPr>
        <w:tc>
          <w:tcPr>
            <w:tcW w:w="700" w:type="dxa"/>
            <w:tcMar>
              <w:top w:w="0" w:type="dxa"/>
              <w:bottom w:w="0" w:type="dxa"/>
            </w:tcMar>
            <w:vAlign w:val="center"/>
          </w:tcPr>
          <w:p w:rsidR="0077119B" w:rsidRPr="000627AB" w:rsidRDefault="00A55912">
            <w:pPr>
              <w:keepNext/>
              <w:keepLines/>
              <w:spacing w:after="0" w:line="240" w:lineRule="auto"/>
              <w:rPr>
                <w:sz w:val="22"/>
              </w:rPr>
            </w:pPr>
            <w:r w:rsidRPr="000627AB">
              <w:rPr>
                <w:sz w:val="22"/>
              </w:rPr>
              <w:t>4124</w:t>
            </w:r>
          </w:p>
        </w:tc>
        <w:tc>
          <w:tcPr>
            <w:tcW w:w="3180" w:type="dxa"/>
            <w:tcMar>
              <w:top w:w="0" w:type="dxa"/>
              <w:bottom w:w="0" w:type="dxa"/>
            </w:tcMar>
            <w:vAlign w:val="center"/>
          </w:tcPr>
          <w:p w:rsidR="0077119B" w:rsidRPr="000627AB" w:rsidRDefault="00A55912">
            <w:pPr>
              <w:keepNext/>
              <w:keepLines/>
              <w:spacing w:after="0" w:line="240" w:lineRule="auto"/>
              <w:rPr>
                <w:sz w:val="22"/>
              </w:rPr>
            </w:pPr>
            <w:r w:rsidRPr="000627AB">
              <w:rPr>
                <w:sz w:val="22"/>
              </w:rPr>
              <w:t>Ostala prava</w:t>
            </w:r>
          </w:p>
        </w:tc>
        <w:tc>
          <w:tcPr>
            <w:tcW w:w="700" w:type="dxa"/>
            <w:tcMar>
              <w:top w:w="0" w:type="dxa"/>
              <w:bottom w:w="0" w:type="dxa"/>
            </w:tcMar>
            <w:vAlign w:val="center"/>
          </w:tcPr>
          <w:p w:rsidR="0077119B" w:rsidRPr="000627AB" w:rsidRDefault="00A55912">
            <w:pPr>
              <w:keepNext/>
              <w:keepLines/>
              <w:spacing w:after="0" w:line="240" w:lineRule="auto"/>
              <w:rPr>
                <w:sz w:val="22"/>
              </w:rPr>
            </w:pPr>
            <w:r w:rsidRPr="000627AB">
              <w:rPr>
                <w:sz w:val="22"/>
              </w:rPr>
              <w:t>4124</w:t>
            </w:r>
          </w:p>
        </w:tc>
        <w:tc>
          <w:tcPr>
            <w:tcW w:w="1860" w:type="dxa"/>
            <w:tcMar>
              <w:top w:w="0" w:type="dxa"/>
              <w:bottom w:w="0" w:type="dxa"/>
            </w:tcMar>
            <w:vAlign w:val="center"/>
          </w:tcPr>
          <w:p w:rsidR="0077119B" w:rsidRPr="000627AB" w:rsidRDefault="00A55912">
            <w:pPr>
              <w:keepNext/>
              <w:keepLines/>
              <w:spacing w:after="0" w:line="240" w:lineRule="auto"/>
              <w:jc w:val="right"/>
              <w:rPr>
                <w:sz w:val="22"/>
              </w:rPr>
            </w:pPr>
            <w:r w:rsidRPr="000627AB">
              <w:rPr>
                <w:sz w:val="22"/>
              </w:rPr>
              <w:t>217.949,17</w:t>
            </w:r>
          </w:p>
        </w:tc>
        <w:tc>
          <w:tcPr>
            <w:tcW w:w="1860" w:type="dxa"/>
            <w:tcMar>
              <w:top w:w="0" w:type="dxa"/>
              <w:bottom w:w="0" w:type="dxa"/>
            </w:tcMar>
            <w:vAlign w:val="center"/>
          </w:tcPr>
          <w:p w:rsidR="0077119B" w:rsidRPr="000627AB" w:rsidRDefault="000627AB">
            <w:pPr>
              <w:keepNext/>
              <w:keepLines/>
              <w:spacing w:after="0" w:line="240" w:lineRule="auto"/>
              <w:jc w:val="right"/>
              <w:rPr>
                <w:sz w:val="22"/>
              </w:rPr>
            </w:pPr>
            <w:r>
              <w:rPr>
                <w:sz w:val="22"/>
              </w:rPr>
              <w:t>778.415,56</w:t>
            </w:r>
          </w:p>
        </w:tc>
        <w:tc>
          <w:tcPr>
            <w:tcW w:w="700" w:type="dxa"/>
            <w:tcMar>
              <w:top w:w="0" w:type="dxa"/>
              <w:bottom w:w="0" w:type="dxa"/>
            </w:tcMar>
            <w:vAlign w:val="center"/>
          </w:tcPr>
          <w:p w:rsidR="0077119B" w:rsidRPr="000627AB" w:rsidRDefault="000627AB" w:rsidP="000627AB">
            <w:pPr>
              <w:keepNext/>
              <w:keepLines/>
              <w:spacing w:after="0" w:line="240" w:lineRule="auto"/>
              <w:jc w:val="center"/>
              <w:rPr>
                <w:sz w:val="22"/>
              </w:rPr>
            </w:pPr>
            <w:r>
              <w:rPr>
                <w:sz w:val="22"/>
              </w:rPr>
              <w:t>357,2</w:t>
            </w:r>
          </w:p>
        </w:tc>
      </w:tr>
    </w:tbl>
    <w:p w:rsidR="0077119B" w:rsidRPr="00A278AA" w:rsidRDefault="0077119B">
      <w:pPr>
        <w:spacing w:after="0"/>
        <w:rPr>
          <w:color w:val="FF0000"/>
          <w:sz w:val="22"/>
        </w:rPr>
      </w:pPr>
    </w:p>
    <w:p w:rsidR="0077119B" w:rsidRPr="00906A04" w:rsidRDefault="00A55912" w:rsidP="00906A04">
      <w:pPr>
        <w:spacing w:line="240" w:lineRule="auto"/>
        <w:jc w:val="both"/>
        <w:rPr>
          <w:sz w:val="22"/>
        </w:rPr>
      </w:pPr>
      <w:r w:rsidRPr="00755757">
        <w:rPr>
          <w:sz w:val="22"/>
        </w:rPr>
        <w:t xml:space="preserve">U 2025. godini Sveučilištu je dodijeljena suglasnost Ministarstva znanosti, obrazovanja i mladih da provede javnu nabavu za gradnju i uređenje studentskog doma u Koprivnici. Izvođač radova fakturirao je privremene građevinske situacije za koje </w:t>
      </w:r>
      <w:r w:rsidR="000627AB" w:rsidRPr="00755757">
        <w:rPr>
          <w:sz w:val="22"/>
        </w:rPr>
        <w:t>j</w:t>
      </w:r>
      <w:r w:rsidRPr="00755757">
        <w:rPr>
          <w:sz w:val="22"/>
        </w:rPr>
        <w:t>e Sveučilište izradi</w:t>
      </w:r>
      <w:r w:rsidR="000627AB" w:rsidRPr="00755757">
        <w:rPr>
          <w:sz w:val="22"/>
        </w:rPr>
        <w:t>lo</w:t>
      </w:r>
      <w:r w:rsidRPr="00755757">
        <w:rPr>
          <w:sz w:val="22"/>
        </w:rPr>
        <w:t xml:space="preserve"> Zahtjev</w:t>
      </w:r>
      <w:r w:rsidR="000627AB" w:rsidRPr="00755757">
        <w:rPr>
          <w:sz w:val="22"/>
        </w:rPr>
        <w:t>e</w:t>
      </w:r>
      <w:r w:rsidRPr="00755757">
        <w:rPr>
          <w:sz w:val="22"/>
        </w:rPr>
        <w:t xml:space="preserve"> za refundacijom sredstava od strane Ministarstva po plaćenim situacijama, s obzirom da se rezervirana sredstva za gradnju predmetne građevine nalaze u proračunskoj poziciji Ministarstva, a ne Sveučilišta.</w:t>
      </w:r>
    </w:p>
    <w:tbl>
      <w:tblPr>
        <w:tblW w:w="9159"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2789"/>
        <w:gridCol w:w="992"/>
        <w:gridCol w:w="1959"/>
        <w:gridCol w:w="1860"/>
        <w:gridCol w:w="859"/>
      </w:tblGrid>
      <w:tr w:rsidR="00755757" w:rsidRPr="00755757" w:rsidTr="00755757">
        <w:trPr>
          <w:cantSplit/>
        </w:trPr>
        <w:tc>
          <w:tcPr>
            <w:tcW w:w="700"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bookmarkStart w:id="2" w:name="_Hlk220599351"/>
            <w:r w:rsidRPr="00755757">
              <w:rPr>
                <w:b/>
                <w:sz w:val="22"/>
              </w:rPr>
              <w:t xml:space="preserve">Račun iz </w:t>
            </w:r>
            <w:proofErr w:type="spellStart"/>
            <w:r w:rsidRPr="00755757">
              <w:rPr>
                <w:b/>
                <w:sz w:val="22"/>
              </w:rPr>
              <w:t>rač</w:t>
            </w:r>
            <w:proofErr w:type="spellEnd"/>
            <w:r w:rsidRPr="00755757">
              <w:rPr>
                <w:b/>
                <w:sz w:val="22"/>
              </w:rPr>
              <w:t>. plana</w:t>
            </w:r>
          </w:p>
        </w:tc>
        <w:tc>
          <w:tcPr>
            <w:tcW w:w="2789"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r w:rsidRPr="00755757">
              <w:rPr>
                <w:b/>
                <w:sz w:val="22"/>
              </w:rPr>
              <w:t>Opis stavke</w:t>
            </w:r>
          </w:p>
        </w:tc>
        <w:tc>
          <w:tcPr>
            <w:tcW w:w="992"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r w:rsidRPr="00755757">
              <w:rPr>
                <w:b/>
                <w:sz w:val="22"/>
              </w:rPr>
              <w:t>Šifra</w:t>
            </w:r>
          </w:p>
        </w:tc>
        <w:tc>
          <w:tcPr>
            <w:tcW w:w="1959"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r w:rsidRPr="00755757">
              <w:rPr>
                <w:b/>
                <w:sz w:val="22"/>
              </w:rPr>
              <w:t>Ostvareno u izvještajnom razdoblju prethodne godine</w:t>
            </w:r>
          </w:p>
        </w:tc>
        <w:tc>
          <w:tcPr>
            <w:tcW w:w="1860"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r w:rsidRPr="00755757">
              <w:rPr>
                <w:b/>
                <w:sz w:val="22"/>
              </w:rPr>
              <w:t>Ostvareno u izvještajnom razdoblju tekuće godine</w:t>
            </w:r>
          </w:p>
        </w:tc>
        <w:tc>
          <w:tcPr>
            <w:tcW w:w="859" w:type="dxa"/>
            <w:shd w:val="clear" w:color="auto" w:fill="FFFF00"/>
            <w:tcMar>
              <w:top w:w="0" w:type="dxa"/>
              <w:bottom w:w="0" w:type="dxa"/>
            </w:tcMar>
            <w:vAlign w:val="center"/>
          </w:tcPr>
          <w:p w:rsidR="0077119B" w:rsidRPr="00755757" w:rsidRDefault="00A55912">
            <w:pPr>
              <w:keepNext/>
              <w:keepLines/>
              <w:spacing w:after="0" w:line="240" w:lineRule="auto"/>
              <w:jc w:val="center"/>
              <w:rPr>
                <w:sz w:val="22"/>
              </w:rPr>
            </w:pPr>
            <w:r w:rsidRPr="00755757">
              <w:rPr>
                <w:b/>
                <w:sz w:val="22"/>
              </w:rPr>
              <w:t>Indeks (%)</w:t>
            </w:r>
          </w:p>
        </w:tc>
      </w:tr>
      <w:tr w:rsidR="00755757" w:rsidRPr="00755757" w:rsidTr="00755757">
        <w:trPr>
          <w:cantSplit/>
          <w:trHeight w:val="560"/>
        </w:trPr>
        <w:tc>
          <w:tcPr>
            <w:tcW w:w="700" w:type="dxa"/>
            <w:tcMar>
              <w:top w:w="0" w:type="dxa"/>
              <w:bottom w:w="0" w:type="dxa"/>
            </w:tcMar>
            <w:vAlign w:val="center"/>
          </w:tcPr>
          <w:p w:rsidR="0077119B" w:rsidRPr="00755757" w:rsidRDefault="00A55912">
            <w:pPr>
              <w:keepNext/>
              <w:keepLines/>
              <w:spacing w:after="0" w:line="240" w:lineRule="auto"/>
              <w:rPr>
                <w:sz w:val="22"/>
              </w:rPr>
            </w:pPr>
            <w:r w:rsidRPr="00755757">
              <w:rPr>
                <w:sz w:val="22"/>
              </w:rPr>
              <w:t>4221</w:t>
            </w:r>
          </w:p>
        </w:tc>
        <w:tc>
          <w:tcPr>
            <w:tcW w:w="2789" w:type="dxa"/>
            <w:tcMar>
              <w:top w:w="0" w:type="dxa"/>
              <w:bottom w:w="0" w:type="dxa"/>
            </w:tcMar>
            <w:vAlign w:val="center"/>
          </w:tcPr>
          <w:p w:rsidR="0077119B" w:rsidRPr="00755757" w:rsidRDefault="00A55912">
            <w:pPr>
              <w:keepNext/>
              <w:keepLines/>
              <w:spacing w:after="0" w:line="240" w:lineRule="auto"/>
              <w:rPr>
                <w:sz w:val="22"/>
              </w:rPr>
            </w:pPr>
            <w:r w:rsidRPr="00755757">
              <w:rPr>
                <w:sz w:val="22"/>
              </w:rPr>
              <w:t>Uredska oprema i namještaj</w:t>
            </w:r>
          </w:p>
        </w:tc>
        <w:tc>
          <w:tcPr>
            <w:tcW w:w="992" w:type="dxa"/>
            <w:tcMar>
              <w:top w:w="0" w:type="dxa"/>
              <w:bottom w:w="0" w:type="dxa"/>
            </w:tcMar>
            <w:vAlign w:val="center"/>
          </w:tcPr>
          <w:p w:rsidR="0077119B" w:rsidRPr="00755757" w:rsidRDefault="00A55912">
            <w:pPr>
              <w:keepNext/>
              <w:keepLines/>
              <w:spacing w:after="0" w:line="240" w:lineRule="auto"/>
              <w:rPr>
                <w:sz w:val="22"/>
              </w:rPr>
            </w:pPr>
            <w:r w:rsidRPr="00755757">
              <w:rPr>
                <w:sz w:val="22"/>
              </w:rPr>
              <w:t>4221</w:t>
            </w:r>
          </w:p>
        </w:tc>
        <w:tc>
          <w:tcPr>
            <w:tcW w:w="1959" w:type="dxa"/>
            <w:tcMar>
              <w:top w:w="0" w:type="dxa"/>
              <w:bottom w:w="0" w:type="dxa"/>
            </w:tcMar>
            <w:vAlign w:val="center"/>
          </w:tcPr>
          <w:p w:rsidR="0077119B" w:rsidRPr="00755757" w:rsidRDefault="00755757">
            <w:pPr>
              <w:keepNext/>
              <w:keepLines/>
              <w:spacing w:after="0" w:line="240" w:lineRule="auto"/>
              <w:jc w:val="right"/>
              <w:rPr>
                <w:sz w:val="22"/>
              </w:rPr>
            </w:pPr>
            <w:r>
              <w:rPr>
                <w:sz w:val="22"/>
              </w:rPr>
              <w:t>9.058,55</w:t>
            </w:r>
          </w:p>
        </w:tc>
        <w:tc>
          <w:tcPr>
            <w:tcW w:w="1860" w:type="dxa"/>
            <w:tcMar>
              <w:top w:w="0" w:type="dxa"/>
              <w:bottom w:w="0" w:type="dxa"/>
            </w:tcMar>
            <w:vAlign w:val="center"/>
          </w:tcPr>
          <w:p w:rsidR="0077119B" w:rsidRPr="00755757" w:rsidRDefault="00755757">
            <w:pPr>
              <w:keepNext/>
              <w:keepLines/>
              <w:spacing w:after="0" w:line="240" w:lineRule="auto"/>
              <w:jc w:val="right"/>
              <w:rPr>
                <w:sz w:val="22"/>
              </w:rPr>
            </w:pPr>
            <w:r>
              <w:rPr>
                <w:sz w:val="22"/>
              </w:rPr>
              <w:t>103.144,99</w:t>
            </w:r>
          </w:p>
        </w:tc>
        <w:tc>
          <w:tcPr>
            <w:tcW w:w="859" w:type="dxa"/>
            <w:tcMar>
              <w:top w:w="0" w:type="dxa"/>
              <w:bottom w:w="0" w:type="dxa"/>
            </w:tcMar>
            <w:vAlign w:val="center"/>
          </w:tcPr>
          <w:p w:rsidR="0077119B" w:rsidRPr="00755757" w:rsidRDefault="00A55912">
            <w:pPr>
              <w:keepNext/>
              <w:keepLines/>
              <w:spacing w:after="0" w:line="240" w:lineRule="auto"/>
              <w:jc w:val="right"/>
              <w:rPr>
                <w:sz w:val="22"/>
              </w:rPr>
            </w:pPr>
            <w:r w:rsidRPr="00755757">
              <w:rPr>
                <w:sz w:val="22"/>
              </w:rPr>
              <w:t>1</w:t>
            </w:r>
            <w:r w:rsidR="00755757">
              <w:rPr>
                <w:sz w:val="22"/>
              </w:rPr>
              <w:t>.138,6</w:t>
            </w:r>
          </w:p>
        </w:tc>
      </w:tr>
      <w:bookmarkEnd w:id="2"/>
    </w:tbl>
    <w:p w:rsidR="0077119B" w:rsidRPr="00A278AA" w:rsidRDefault="0077119B">
      <w:pPr>
        <w:spacing w:after="0"/>
        <w:rPr>
          <w:color w:val="FF0000"/>
          <w:sz w:val="22"/>
        </w:rPr>
      </w:pPr>
    </w:p>
    <w:p w:rsidR="0077119B" w:rsidRPr="00755757" w:rsidRDefault="00A55912" w:rsidP="00755757">
      <w:pPr>
        <w:spacing w:line="240" w:lineRule="auto"/>
        <w:jc w:val="both"/>
        <w:rPr>
          <w:sz w:val="22"/>
        </w:rPr>
      </w:pPr>
      <w:r w:rsidRPr="00755757">
        <w:rPr>
          <w:sz w:val="22"/>
        </w:rPr>
        <w:t>U 2025. godine realizirane su nabave računala i računalne opreme te uredskog namještaja sukladno Planu nabave za 2025. godinu.</w:t>
      </w:r>
    </w:p>
    <w:p w:rsidR="00755757" w:rsidRDefault="00755757" w:rsidP="00755757">
      <w:pPr>
        <w:keepNext/>
        <w:tabs>
          <w:tab w:val="left" w:pos="611"/>
        </w:tabs>
        <w:spacing w:line="240" w:lineRule="auto"/>
        <w:rPr>
          <w:color w:val="FF0000"/>
          <w:sz w:val="22"/>
        </w:rPr>
      </w:pPr>
    </w:p>
    <w:tbl>
      <w:tblPr>
        <w:tblW w:w="9159"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2789"/>
        <w:gridCol w:w="992"/>
        <w:gridCol w:w="1959"/>
        <w:gridCol w:w="1860"/>
        <w:gridCol w:w="859"/>
      </w:tblGrid>
      <w:tr w:rsidR="00755757" w:rsidRPr="00755757" w:rsidTr="00A16BC5">
        <w:trPr>
          <w:cantSplit/>
        </w:trPr>
        <w:tc>
          <w:tcPr>
            <w:tcW w:w="700"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 xml:space="preserve">Račun iz </w:t>
            </w:r>
            <w:proofErr w:type="spellStart"/>
            <w:r w:rsidRPr="00755757">
              <w:rPr>
                <w:b/>
                <w:sz w:val="22"/>
              </w:rPr>
              <w:t>rač</w:t>
            </w:r>
            <w:proofErr w:type="spellEnd"/>
            <w:r w:rsidRPr="00755757">
              <w:rPr>
                <w:b/>
                <w:sz w:val="22"/>
              </w:rPr>
              <w:t>. plana</w:t>
            </w:r>
          </w:p>
        </w:tc>
        <w:tc>
          <w:tcPr>
            <w:tcW w:w="2789"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Opis stavke</w:t>
            </w:r>
          </w:p>
        </w:tc>
        <w:tc>
          <w:tcPr>
            <w:tcW w:w="992"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Šifra</w:t>
            </w:r>
          </w:p>
        </w:tc>
        <w:tc>
          <w:tcPr>
            <w:tcW w:w="1959"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Ostvareno u izvještajnom razdoblju prethodne godine</w:t>
            </w:r>
          </w:p>
        </w:tc>
        <w:tc>
          <w:tcPr>
            <w:tcW w:w="1860"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Ostvareno u izvještajnom razdoblju tekuće godine</w:t>
            </w:r>
          </w:p>
        </w:tc>
        <w:tc>
          <w:tcPr>
            <w:tcW w:w="859" w:type="dxa"/>
            <w:shd w:val="clear" w:color="auto" w:fill="FFFF00"/>
            <w:tcMar>
              <w:top w:w="0" w:type="dxa"/>
              <w:bottom w:w="0" w:type="dxa"/>
            </w:tcMar>
            <w:vAlign w:val="center"/>
          </w:tcPr>
          <w:p w:rsidR="00755757" w:rsidRPr="00755757" w:rsidRDefault="00755757" w:rsidP="00A16BC5">
            <w:pPr>
              <w:keepNext/>
              <w:keepLines/>
              <w:spacing w:after="0" w:line="240" w:lineRule="auto"/>
              <w:jc w:val="center"/>
              <w:rPr>
                <w:sz w:val="22"/>
              </w:rPr>
            </w:pPr>
            <w:r w:rsidRPr="00755757">
              <w:rPr>
                <w:b/>
                <w:sz w:val="22"/>
              </w:rPr>
              <w:t>Indeks (%)</w:t>
            </w:r>
          </w:p>
        </w:tc>
      </w:tr>
      <w:tr w:rsidR="00755757" w:rsidRPr="00755757" w:rsidTr="00A16BC5">
        <w:trPr>
          <w:cantSplit/>
          <w:trHeight w:val="560"/>
        </w:trPr>
        <w:tc>
          <w:tcPr>
            <w:tcW w:w="700" w:type="dxa"/>
            <w:tcMar>
              <w:top w:w="0" w:type="dxa"/>
              <w:bottom w:w="0" w:type="dxa"/>
            </w:tcMar>
            <w:vAlign w:val="center"/>
          </w:tcPr>
          <w:p w:rsidR="00755757" w:rsidRPr="00755757" w:rsidRDefault="00755757" w:rsidP="00A16BC5">
            <w:pPr>
              <w:keepNext/>
              <w:keepLines/>
              <w:spacing w:after="0" w:line="240" w:lineRule="auto"/>
              <w:rPr>
                <w:sz w:val="22"/>
              </w:rPr>
            </w:pPr>
            <w:r w:rsidRPr="00755757">
              <w:rPr>
                <w:sz w:val="22"/>
              </w:rPr>
              <w:t>422</w:t>
            </w:r>
            <w:r w:rsidR="005D7C7A">
              <w:rPr>
                <w:sz w:val="22"/>
              </w:rPr>
              <w:t>7</w:t>
            </w:r>
          </w:p>
        </w:tc>
        <w:tc>
          <w:tcPr>
            <w:tcW w:w="2789" w:type="dxa"/>
            <w:tcMar>
              <w:top w:w="0" w:type="dxa"/>
              <w:bottom w:w="0" w:type="dxa"/>
            </w:tcMar>
            <w:vAlign w:val="center"/>
          </w:tcPr>
          <w:p w:rsidR="00755757" w:rsidRPr="00755757" w:rsidRDefault="005D7C7A" w:rsidP="00A16BC5">
            <w:pPr>
              <w:keepNext/>
              <w:keepLines/>
              <w:spacing w:after="0" w:line="240" w:lineRule="auto"/>
              <w:rPr>
                <w:sz w:val="22"/>
              </w:rPr>
            </w:pPr>
            <w:r>
              <w:rPr>
                <w:sz w:val="22"/>
              </w:rPr>
              <w:t>Uređaji, strojevi i oprema</w:t>
            </w:r>
          </w:p>
        </w:tc>
        <w:tc>
          <w:tcPr>
            <w:tcW w:w="992" w:type="dxa"/>
            <w:tcMar>
              <w:top w:w="0" w:type="dxa"/>
              <w:bottom w:w="0" w:type="dxa"/>
            </w:tcMar>
            <w:vAlign w:val="center"/>
          </w:tcPr>
          <w:p w:rsidR="00755757" w:rsidRPr="00755757" w:rsidRDefault="00755757" w:rsidP="00A16BC5">
            <w:pPr>
              <w:keepNext/>
              <w:keepLines/>
              <w:spacing w:after="0" w:line="240" w:lineRule="auto"/>
              <w:rPr>
                <w:sz w:val="22"/>
              </w:rPr>
            </w:pPr>
            <w:r w:rsidRPr="00755757">
              <w:rPr>
                <w:sz w:val="22"/>
              </w:rPr>
              <w:t>422</w:t>
            </w:r>
            <w:r w:rsidR="005D7C7A">
              <w:rPr>
                <w:sz w:val="22"/>
              </w:rPr>
              <w:t>7</w:t>
            </w:r>
          </w:p>
        </w:tc>
        <w:tc>
          <w:tcPr>
            <w:tcW w:w="1959" w:type="dxa"/>
            <w:tcMar>
              <w:top w:w="0" w:type="dxa"/>
              <w:bottom w:w="0" w:type="dxa"/>
            </w:tcMar>
            <w:vAlign w:val="center"/>
          </w:tcPr>
          <w:p w:rsidR="00755757" w:rsidRPr="00755757" w:rsidRDefault="005D7C7A" w:rsidP="00A16BC5">
            <w:pPr>
              <w:keepNext/>
              <w:keepLines/>
              <w:spacing w:after="0" w:line="240" w:lineRule="auto"/>
              <w:jc w:val="right"/>
              <w:rPr>
                <w:sz w:val="22"/>
              </w:rPr>
            </w:pPr>
            <w:r>
              <w:rPr>
                <w:sz w:val="22"/>
              </w:rPr>
              <w:t>229.830,43</w:t>
            </w:r>
          </w:p>
        </w:tc>
        <w:tc>
          <w:tcPr>
            <w:tcW w:w="1860" w:type="dxa"/>
            <w:tcMar>
              <w:top w:w="0" w:type="dxa"/>
              <w:bottom w:w="0" w:type="dxa"/>
            </w:tcMar>
            <w:vAlign w:val="center"/>
          </w:tcPr>
          <w:p w:rsidR="00755757" w:rsidRPr="00755757" w:rsidRDefault="005D7C7A" w:rsidP="00A16BC5">
            <w:pPr>
              <w:keepNext/>
              <w:keepLines/>
              <w:spacing w:after="0" w:line="240" w:lineRule="auto"/>
              <w:jc w:val="right"/>
              <w:rPr>
                <w:sz w:val="22"/>
              </w:rPr>
            </w:pPr>
            <w:r>
              <w:rPr>
                <w:sz w:val="22"/>
              </w:rPr>
              <w:t>77.958,11</w:t>
            </w:r>
          </w:p>
        </w:tc>
        <w:tc>
          <w:tcPr>
            <w:tcW w:w="859" w:type="dxa"/>
            <w:tcMar>
              <w:top w:w="0" w:type="dxa"/>
              <w:bottom w:w="0" w:type="dxa"/>
            </w:tcMar>
            <w:vAlign w:val="center"/>
          </w:tcPr>
          <w:p w:rsidR="00755757" w:rsidRPr="00755757" w:rsidRDefault="005D7C7A" w:rsidP="00A16BC5">
            <w:pPr>
              <w:keepNext/>
              <w:keepLines/>
              <w:spacing w:after="0" w:line="240" w:lineRule="auto"/>
              <w:jc w:val="right"/>
              <w:rPr>
                <w:sz w:val="22"/>
              </w:rPr>
            </w:pPr>
            <w:r>
              <w:rPr>
                <w:sz w:val="22"/>
              </w:rPr>
              <w:t>33,9</w:t>
            </w:r>
          </w:p>
        </w:tc>
      </w:tr>
    </w:tbl>
    <w:p w:rsidR="00755757" w:rsidRDefault="00755757" w:rsidP="00755757">
      <w:pPr>
        <w:keepNext/>
        <w:tabs>
          <w:tab w:val="left" w:pos="611"/>
        </w:tabs>
        <w:spacing w:line="240" w:lineRule="auto"/>
        <w:rPr>
          <w:color w:val="FF0000"/>
          <w:sz w:val="22"/>
        </w:rPr>
      </w:pPr>
    </w:p>
    <w:p w:rsidR="005D7C7A" w:rsidRPr="005D7C7A" w:rsidRDefault="005D7C7A" w:rsidP="00755757">
      <w:pPr>
        <w:keepNext/>
        <w:tabs>
          <w:tab w:val="left" w:pos="611"/>
        </w:tabs>
        <w:spacing w:line="240" w:lineRule="auto"/>
        <w:rPr>
          <w:sz w:val="22"/>
        </w:rPr>
      </w:pPr>
      <w:r w:rsidRPr="005D7C7A">
        <w:rPr>
          <w:sz w:val="22"/>
        </w:rPr>
        <w:t>Stavka uređaja, strojeva i opreme nije u potpunosti realizirana sukladno izglasanom Planom nabave za 2025. godinu, a sukladno koje su Odjeli Sveučilišta dostavljali u svojim zahtjevima / potrebama za uvrštenjem u Plan.</w:t>
      </w:r>
    </w:p>
    <w:p w:rsidR="0077119B" w:rsidRDefault="0077119B" w:rsidP="005D7C7A">
      <w:pPr>
        <w:keepNext/>
        <w:spacing w:line="240" w:lineRule="auto"/>
        <w:rPr>
          <w:color w:val="FF0000"/>
          <w:sz w:val="22"/>
        </w:rPr>
      </w:pPr>
    </w:p>
    <w:p w:rsidR="00310252" w:rsidRPr="00703342" w:rsidRDefault="009C02A0" w:rsidP="005D7C7A">
      <w:pPr>
        <w:keepNext/>
        <w:spacing w:line="240" w:lineRule="auto"/>
        <w:rPr>
          <w:b/>
          <w:i/>
          <w:color w:val="FF0000"/>
          <w:sz w:val="22"/>
        </w:rPr>
      </w:pPr>
      <w:r w:rsidRPr="00703342">
        <w:rPr>
          <w:b/>
          <w:i/>
          <w:color w:val="FF0000"/>
          <w:sz w:val="22"/>
        </w:rPr>
        <w:t xml:space="preserve">DODATI </w:t>
      </w:r>
      <w:r w:rsidR="00703342" w:rsidRPr="00703342">
        <w:rPr>
          <w:b/>
          <w:i/>
          <w:color w:val="FF0000"/>
          <w:sz w:val="22"/>
        </w:rPr>
        <w:t xml:space="preserve">I </w:t>
      </w:r>
      <w:r w:rsidRPr="00703342">
        <w:rPr>
          <w:b/>
          <w:i/>
          <w:color w:val="FF0000"/>
          <w:sz w:val="22"/>
        </w:rPr>
        <w:t>NA SAMOM KRAJU !</w:t>
      </w:r>
      <w:r w:rsidR="00703342" w:rsidRPr="00703342">
        <w:rPr>
          <w:b/>
          <w:i/>
          <w:color w:val="FF0000"/>
          <w:sz w:val="22"/>
        </w:rPr>
        <w:t xml:space="preserve"> – DODATI DVA PUTA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7523" w:rsidRPr="00F87523" w:rsidTr="00F87523">
        <w:trPr>
          <w:cantSplit/>
        </w:trPr>
        <w:tc>
          <w:tcPr>
            <w:tcW w:w="70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 xml:space="preserve">Račun iz </w:t>
            </w:r>
            <w:proofErr w:type="spellStart"/>
            <w:r w:rsidRPr="00F87523">
              <w:rPr>
                <w:b/>
                <w:sz w:val="22"/>
              </w:rPr>
              <w:t>rač</w:t>
            </w:r>
            <w:proofErr w:type="spellEnd"/>
            <w:r w:rsidRPr="00F87523">
              <w:rPr>
                <w:b/>
                <w:sz w:val="22"/>
              </w:rPr>
              <w:t>. plana</w:t>
            </w:r>
          </w:p>
        </w:tc>
        <w:tc>
          <w:tcPr>
            <w:tcW w:w="318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Opis stavke</w:t>
            </w:r>
          </w:p>
        </w:tc>
        <w:tc>
          <w:tcPr>
            <w:tcW w:w="70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Šifra</w:t>
            </w:r>
          </w:p>
        </w:tc>
        <w:tc>
          <w:tcPr>
            <w:tcW w:w="186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Ostvareno u izvještajnom razdoblju prethodne godine</w:t>
            </w:r>
          </w:p>
        </w:tc>
        <w:tc>
          <w:tcPr>
            <w:tcW w:w="186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Ostvareno u izvještajnom razdoblju tekuće godine</w:t>
            </w:r>
          </w:p>
        </w:tc>
        <w:tc>
          <w:tcPr>
            <w:tcW w:w="700" w:type="dxa"/>
            <w:shd w:val="clear" w:color="auto" w:fill="FFFF00"/>
            <w:tcMar>
              <w:top w:w="0" w:type="dxa"/>
              <w:bottom w:w="0" w:type="dxa"/>
            </w:tcMar>
            <w:vAlign w:val="center"/>
          </w:tcPr>
          <w:p w:rsidR="0077119B" w:rsidRPr="00F87523" w:rsidRDefault="00A55912">
            <w:pPr>
              <w:keepNext/>
              <w:keepLines/>
              <w:spacing w:after="0" w:line="240" w:lineRule="auto"/>
              <w:jc w:val="center"/>
              <w:rPr>
                <w:sz w:val="22"/>
              </w:rPr>
            </w:pPr>
            <w:r w:rsidRPr="00F87523">
              <w:rPr>
                <w:b/>
                <w:sz w:val="22"/>
              </w:rPr>
              <w:t>Indeks (%)</w:t>
            </w:r>
          </w:p>
        </w:tc>
      </w:tr>
      <w:tr w:rsidR="0077119B" w:rsidRPr="00F87523">
        <w:trPr>
          <w:cantSplit/>
          <w:trHeight w:val="560"/>
        </w:trPr>
        <w:tc>
          <w:tcPr>
            <w:tcW w:w="700" w:type="dxa"/>
            <w:tcMar>
              <w:top w:w="0" w:type="dxa"/>
              <w:bottom w:w="0" w:type="dxa"/>
            </w:tcMar>
            <w:vAlign w:val="center"/>
          </w:tcPr>
          <w:p w:rsidR="0077119B" w:rsidRPr="00F87523" w:rsidRDefault="0077119B">
            <w:pPr>
              <w:keepNext/>
              <w:keepLines/>
              <w:spacing w:after="0" w:line="240" w:lineRule="auto"/>
              <w:rPr>
                <w:sz w:val="22"/>
              </w:rPr>
            </w:pPr>
          </w:p>
        </w:tc>
        <w:tc>
          <w:tcPr>
            <w:tcW w:w="3180" w:type="dxa"/>
            <w:tcMar>
              <w:top w:w="0" w:type="dxa"/>
              <w:bottom w:w="0" w:type="dxa"/>
            </w:tcMar>
            <w:vAlign w:val="center"/>
          </w:tcPr>
          <w:p w:rsidR="0077119B" w:rsidRPr="00F87523" w:rsidRDefault="00A55912">
            <w:pPr>
              <w:keepNext/>
              <w:keepLines/>
              <w:spacing w:after="0" w:line="240" w:lineRule="auto"/>
              <w:rPr>
                <w:sz w:val="22"/>
              </w:rPr>
            </w:pPr>
            <w:r w:rsidRPr="00F87523">
              <w:rPr>
                <w:sz w:val="22"/>
              </w:rPr>
              <w:t>UKUPAN MANJAK PRIHODA (šifre Y034-X067)</w:t>
            </w:r>
          </w:p>
        </w:tc>
        <w:tc>
          <w:tcPr>
            <w:tcW w:w="700" w:type="dxa"/>
            <w:tcMar>
              <w:top w:w="0" w:type="dxa"/>
              <w:bottom w:w="0" w:type="dxa"/>
            </w:tcMar>
            <w:vAlign w:val="center"/>
          </w:tcPr>
          <w:p w:rsidR="0077119B" w:rsidRPr="00F87523" w:rsidRDefault="00A55912">
            <w:pPr>
              <w:keepNext/>
              <w:keepLines/>
              <w:spacing w:after="0" w:line="240" w:lineRule="auto"/>
              <w:rPr>
                <w:sz w:val="22"/>
              </w:rPr>
            </w:pPr>
            <w:r w:rsidRPr="00F87523">
              <w:rPr>
                <w:sz w:val="22"/>
              </w:rPr>
              <w:t>Y004</w:t>
            </w:r>
          </w:p>
        </w:tc>
        <w:tc>
          <w:tcPr>
            <w:tcW w:w="1860" w:type="dxa"/>
            <w:tcMar>
              <w:top w:w="0" w:type="dxa"/>
              <w:bottom w:w="0" w:type="dxa"/>
            </w:tcMar>
            <w:vAlign w:val="center"/>
          </w:tcPr>
          <w:p w:rsidR="0077119B" w:rsidRPr="00F87523" w:rsidRDefault="00A55912">
            <w:pPr>
              <w:keepNext/>
              <w:keepLines/>
              <w:spacing w:after="0" w:line="240" w:lineRule="auto"/>
              <w:jc w:val="right"/>
              <w:rPr>
                <w:sz w:val="22"/>
              </w:rPr>
            </w:pPr>
            <w:r w:rsidRPr="00F87523">
              <w:rPr>
                <w:sz w:val="22"/>
              </w:rPr>
              <w:t>0,00</w:t>
            </w:r>
          </w:p>
        </w:tc>
        <w:tc>
          <w:tcPr>
            <w:tcW w:w="1860" w:type="dxa"/>
            <w:tcMar>
              <w:top w:w="0" w:type="dxa"/>
              <w:bottom w:w="0" w:type="dxa"/>
            </w:tcMar>
            <w:vAlign w:val="center"/>
          </w:tcPr>
          <w:p w:rsidR="0077119B" w:rsidRPr="00F87523" w:rsidRDefault="00F87523">
            <w:pPr>
              <w:keepNext/>
              <w:keepLines/>
              <w:spacing w:after="0" w:line="240" w:lineRule="auto"/>
              <w:jc w:val="right"/>
              <w:rPr>
                <w:sz w:val="22"/>
              </w:rPr>
            </w:pPr>
            <w:r w:rsidRPr="00F87523">
              <w:rPr>
                <w:sz w:val="22"/>
              </w:rPr>
              <w:t>905.292,99</w:t>
            </w:r>
          </w:p>
        </w:tc>
        <w:tc>
          <w:tcPr>
            <w:tcW w:w="700" w:type="dxa"/>
            <w:tcMar>
              <w:top w:w="0" w:type="dxa"/>
              <w:bottom w:w="0" w:type="dxa"/>
            </w:tcMar>
            <w:vAlign w:val="center"/>
          </w:tcPr>
          <w:p w:rsidR="0077119B" w:rsidRPr="00F87523" w:rsidRDefault="00A55912">
            <w:pPr>
              <w:keepNext/>
              <w:keepLines/>
              <w:spacing w:after="0" w:line="240" w:lineRule="auto"/>
              <w:jc w:val="right"/>
              <w:rPr>
                <w:sz w:val="22"/>
              </w:rPr>
            </w:pPr>
            <w:r w:rsidRPr="00F87523">
              <w:rPr>
                <w:sz w:val="22"/>
              </w:rPr>
              <w:t>-</w:t>
            </w:r>
          </w:p>
        </w:tc>
      </w:tr>
    </w:tbl>
    <w:p w:rsidR="0077119B" w:rsidRPr="00A278AA" w:rsidRDefault="0077119B">
      <w:pPr>
        <w:spacing w:after="0"/>
        <w:rPr>
          <w:color w:val="FF0000"/>
          <w:sz w:val="22"/>
        </w:rPr>
      </w:pPr>
    </w:p>
    <w:p w:rsidR="00FF0EF7" w:rsidRPr="00800153" w:rsidRDefault="00A55912" w:rsidP="00800153">
      <w:pPr>
        <w:spacing w:line="240" w:lineRule="auto"/>
        <w:jc w:val="both"/>
        <w:rPr>
          <w:sz w:val="22"/>
        </w:rPr>
      </w:pPr>
      <w:r w:rsidRPr="00310252">
        <w:rPr>
          <w:sz w:val="22"/>
        </w:rPr>
        <w:t>U obrascu PR-RAS Sveučilišta Sjever za izvještajno razdoblje 01.01.-3</w:t>
      </w:r>
      <w:r w:rsidR="00856C9F">
        <w:rPr>
          <w:sz w:val="22"/>
        </w:rPr>
        <w:t>1</w:t>
      </w:r>
      <w:r w:rsidRPr="00310252">
        <w:rPr>
          <w:sz w:val="22"/>
        </w:rPr>
        <w:t>.</w:t>
      </w:r>
      <w:r w:rsidR="00856C9F">
        <w:rPr>
          <w:sz w:val="22"/>
        </w:rPr>
        <w:t>12</w:t>
      </w:r>
      <w:r w:rsidRPr="00310252">
        <w:rPr>
          <w:sz w:val="22"/>
        </w:rPr>
        <w:t xml:space="preserve">.2025. ostvaren </w:t>
      </w:r>
      <w:r w:rsidR="00581179">
        <w:rPr>
          <w:sz w:val="22"/>
        </w:rPr>
        <w:t>je višak</w:t>
      </w:r>
      <w:r w:rsidRPr="00310252">
        <w:rPr>
          <w:sz w:val="22"/>
        </w:rPr>
        <w:t xml:space="preserve"> prihoda poslovanja u iznosu </w:t>
      </w:r>
      <w:r w:rsidR="00581179">
        <w:rPr>
          <w:sz w:val="22"/>
        </w:rPr>
        <w:t>174.762,29</w:t>
      </w:r>
      <w:r w:rsidRPr="00310252">
        <w:rPr>
          <w:sz w:val="22"/>
        </w:rPr>
        <w:t xml:space="preserve"> EUR</w:t>
      </w:r>
      <w:r w:rsidR="00581179">
        <w:rPr>
          <w:sz w:val="22"/>
        </w:rPr>
        <w:t xml:space="preserve"> (X001)</w:t>
      </w:r>
      <w:r w:rsidRPr="00310252">
        <w:rPr>
          <w:sz w:val="22"/>
        </w:rPr>
        <w:t xml:space="preserve"> te manjak prihoda od nefinancijske imovine u iznosu </w:t>
      </w:r>
      <w:r w:rsidR="00581179">
        <w:rPr>
          <w:sz w:val="22"/>
        </w:rPr>
        <w:t>1.080.055,28</w:t>
      </w:r>
      <w:r w:rsidRPr="00310252">
        <w:rPr>
          <w:sz w:val="22"/>
        </w:rPr>
        <w:t xml:space="preserve"> EUR</w:t>
      </w:r>
      <w:r w:rsidR="00581179">
        <w:rPr>
          <w:sz w:val="22"/>
        </w:rPr>
        <w:t xml:space="preserve"> (Y002)</w:t>
      </w:r>
      <w:r w:rsidRPr="00310252">
        <w:rPr>
          <w:sz w:val="22"/>
        </w:rPr>
        <w:t>. Sveučilište Sjever je u razdoblju od 01.01.2025. do 3</w:t>
      </w:r>
      <w:r w:rsidR="00581179">
        <w:rPr>
          <w:sz w:val="22"/>
        </w:rPr>
        <w:t>1</w:t>
      </w:r>
      <w:r w:rsidRPr="00310252">
        <w:rPr>
          <w:sz w:val="22"/>
        </w:rPr>
        <w:t>.</w:t>
      </w:r>
      <w:r w:rsidR="00581179">
        <w:rPr>
          <w:sz w:val="22"/>
        </w:rPr>
        <w:t>12</w:t>
      </w:r>
      <w:r w:rsidRPr="00310252">
        <w:rPr>
          <w:sz w:val="22"/>
        </w:rPr>
        <w:t>.2025. ostvarilo ukupne prihode i primitke u iznosu od 1</w:t>
      </w:r>
      <w:r w:rsidR="00581179">
        <w:rPr>
          <w:sz w:val="22"/>
        </w:rPr>
        <w:t>5.205.259,27</w:t>
      </w:r>
      <w:r w:rsidRPr="00310252">
        <w:rPr>
          <w:sz w:val="22"/>
        </w:rPr>
        <w:t xml:space="preserve"> EUR i ukupne rashode i izdatke u iznosu od 1</w:t>
      </w:r>
      <w:r w:rsidR="00581179">
        <w:rPr>
          <w:sz w:val="22"/>
        </w:rPr>
        <w:t>6.110.552,26</w:t>
      </w:r>
      <w:r w:rsidRPr="00310252">
        <w:rPr>
          <w:sz w:val="22"/>
        </w:rPr>
        <w:t xml:space="preserve"> EUR (ukupni rashodi smanjeni su za učinak povećanja zaliha proizvodnje i gotovih proizvoda u iznosu od </w:t>
      </w:r>
      <w:r w:rsidR="00581179">
        <w:rPr>
          <w:sz w:val="22"/>
        </w:rPr>
        <w:t>9.172,01</w:t>
      </w:r>
      <w:r w:rsidRPr="00310252">
        <w:rPr>
          <w:sz w:val="22"/>
        </w:rPr>
        <w:t xml:space="preserve"> EUR), a kao razlika ukupnih prihoda i rashoda iskazan je manjak prihoda i primitaka razdoblja u iznosu </w:t>
      </w:r>
      <w:r w:rsidR="00581179">
        <w:rPr>
          <w:sz w:val="22"/>
        </w:rPr>
        <w:t>905.292,99</w:t>
      </w:r>
      <w:r w:rsidRPr="00310252">
        <w:rPr>
          <w:sz w:val="22"/>
        </w:rPr>
        <w:t xml:space="preserve"> EUR.  Prenesenim viškom prihoda i primitaka iz prethodnog razdoblja u iznosu 2.</w:t>
      </w:r>
      <w:r w:rsidR="00581179">
        <w:rPr>
          <w:sz w:val="22"/>
        </w:rPr>
        <w:t>875.386,86</w:t>
      </w:r>
      <w:r w:rsidRPr="00310252">
        <w:rPr>
          <w:sz w:val="22"/>
        </w:rPr>
        <w:t xml:space="preserve"> EUR biti će pokriven manjak prihoda i primitaka</w:t>
      </w:r>
      <w:r w:rsidR="00581179">
        <w:rPr>
          <w:sz w:val="22"/>
        </w:rPr>
        <w:t xml:space="preserve"> iz 2025.</w:t>
      </w:r>
      <w:r w:rsidRPr="00310252">
        <w:rPr>
          <w:sz w:val="22"/>
        </w:rPr>
        <w:t xml:space="preserve"> te Sveučilištu ostaje na raspolaganju višak prihoda i primitaka raspoloživ u sljedećem razdoblju u iznosu </w:t>
      </w:r>
      <w:r w:rsidR="00581179">
        <w:rPr>
          <w:sz w:val="22"/>
        </w:rPr>
        <w:t>1.970.093,87</w:t>
      </w:r>
      <w:r w:rsidRPr="00310252">
        <w:rPr>
          <w:sz w:val="22"/>
        </w:rPr>
        <w:t xml:space="preserve"> EUR. Ostali razlozi ostvarenja manjka prihoda</w:t>
      </w:r>
      <w:r w:rsidR="00FF0EF7">
        <w:rPr>
          <w:sz w:val="22"/>
        </w:rPr>
        <w:t xml:space="preserve"> - </w:t>
      </w:r>
      <w:r w:rsidR="00FF0EF7" w:rsidRPr="00FF0EF7">
        <w:rPr>
          <w:rFonts w:eastAsiaTheme="minorHAnsi" w:cs="Times New Roman"/>
          <w:sz w:val="22"/>
          <w:lang w:eastAsia="en-US"/>
        </w:rPr>
        <w:t xml:space="preserve">na potraživanja za nenaplaćene školarine </w:t>
      </w:r>
      <w:r w:rsidR="00FF0EF7">
        <w:rPr>
          <w:rFonts w:eastAsiaTheme="minorHAnsi" w:cs="Times New Roman"/>
          <w:sz w:val="22"/>
          <w:lang w:eastAsia="en-US"/>
        </w:rPr>
        <w:t xml:space="preserve">zabilježeno </w:t>
      </w:r>
      <w:r w:rsidR="00FF0EF7" w:rsidRPr="00FF0EF7">
        <w:rPr>
          <w:rFonts w:eastAsiaTheme="minorHAnsi" w:cs="Times New Roman"/>
          <w:sz w:val="22"/>
          <w:lang w:eastAsia="en-US"/>
        </w:rPr>
        <w:t>350.582,15 EUR</w:t>
      </w:r>
      <w:r w:rsidR="00FF0EF7">
        <w:rPr>
          <w:sz w:val="22"/>
        </w:rPr>
        <w:t xml:space="preserve">, </w:t>
      </w:r>
      <w:r w:rsidR="00FF0EF7" w:rsidRPr="00FF0EF7">
        <w:rPr>
          <w:rFonts w:eastAsiaTheme="minorHAnsi" w:cs="Times New Roman"/>
          <w:sz w:val="22"/>
          <w:lang w:eastAsia="en-US"/>
        </w:rPr>
        <w:t>na kontu obveza za EU predujmove deponirano je 382.797,35 EUR – novim Pravilnikom sredstva se ne mogu odmah priznati kao prihod već po nastanku rashoda / odobrenja završnog izvješća</w:t>
      </w:r>
      <w:r w:rsidR="00FF0EF7">
        <w:rPr>
          <w:sz w:val="22"/>
        </w:rPr>
        <w:t xml:space="preserve">. </w:t>
      </w:r>
      <w:r w:rsidR="00FF0EF7">
        <w:rPr>
          <w:rFonts w:eastAsiaTheme="minorHAnsi" w:cs="Times New Roman"/>
          <w:sz w:val="22"/>
          <w:lang w:eastAsia="en-US"/>
        </w:rPr>
        <w:t>D</w:t>
      </w:r>
      <w:r w:rsidR="00FF0EF7" w:rsidRPr="00FF0EF7">
        <w:rPr>
          <w:rFonts w:eastAsiaTheme="minorHAnsi" w:cs="Times New Roman"/>
          <w:sz w:val="22"/>
          <w:lang w:eastAsia="en-US"/>
        </w:rPr>
        <w:t>o završetka 2025. godine izostala je uplata Ministarstva znanosti, obrazovanja i mladih po novom ugovoru za programsko financiranje (rebalansom bilo predviđeno ukupno 2.141.644 EUR po starom i novom programskom financiranju, a upl</w:t>
      </w:r>
      <w:r w:rsidR="00FF0EF7">
        <w:rPr>
          <w:rFonts w:eastAsiaTheme="minorHAnsi" w:cs="Times New Roman"/>
          <w:sz w:val="22"/>
          <w:lang w:eastAsia="en-US"/>
        </w:rPr>
        <w:t>aćeno</w:t>
      </w:r>
      <w:r w:rsidR="00FF0EF7" w:rsidRPr="00FF0EF7">
        <w:rPr>
          <w:rFonts w:eastAsiaTheme="minorHAnsi" w:cs="Times New Roman"/>
          <w:sz w:val="22"/>
          <w:lang w:eastAsia="en-US"/>
        </w:rPr>
        <w:t xml:space="preserve"> </w:t>
      </w:r>
      <w:r w:rsidR="00FF0EF7">
        <w:rPr>
          <w:rFonts w:eastAsiaTheme="minorHAnsi" w:cs="Times New Roman"/>
          <w:sz w:val="22"/>
          <w:lang w:eastAsia="en-US"/>
        </w:rPr>
        <w:t xml:space="preserve">je </w:t>
      </w:r>
      <w:r w:rsidR="00FF0EF7" w:rsidRPr="00FF0EF7">
        <w:rPr>
          <w:rFonts w:eastAsiaTheme="minorHAnsi" w:cs="Times New Roman"/>
          <w:sz w:val="22"/>
          <w:lang w:eastAsia="en-US"/>
        </w:rPr>
        <w:t>1.609.095 EUR u 2025. godini</w:t>
      </w:r>
      <w:r w:rsidR="00FF0EF7">
        <w:rPr>
          <w:rFonts w:eastAsiaTheme="minorHAnsi" w:cs="Times New Roman"/>
          <w:sz w:val="22"/>
          <w:lang w:eastAsia="en-US"/>
        </w:rPr>
        <w:t xml:space="preserve">, </w:t>
      </w:r>
      <w:r w:rsidR="00FF0EF7" w:rsidRPr="00FF0EF7">
        <w:rPr>
          <w:rFonts w:eastAsiaTheme="minorHAnsi" w:cs="Times New Roman"/>
          <w:sz w:val="22"/>
          <w:lang w:eastAsia="en-US"/>
        </w:rPr>
        <w:t>uplaćeno manje -532.549 EUR</w:t>
      </w:r>
      <w:r w:rsidR="00FF0EF7">
        <w:rPr>
          <w:rFonts w:eastAsiaTheme="minorHAnsi" w:cs="Times New Roman"/>
          <w:sz w:val="22"/>
          <w:lang w:eastAsia="en-US"/>
        </w:rPr>
        <w:t xml:space="preserve">), </w:t>
      </w:r>
      <w:r w:rsidR="00FF0EF7" w:rsidRPr="00FF0EF7">
        <w:rPr>
          <w:rFonts w:eastAsiaTheme="minorHAnsi" w:cs="Times New Roman"/>
          <w:sz w:val="22"/>
          <w:lang w:eastAsia="en-US"/>
        </w:rPr>
        <w:t>broj zaposlenih</w:t>
      </w:r>
      <w:r w:rsidR="00FF0EF7">
        <w:rPr>
          <w:rFonts w:eastAsiaTheme="minorHAnsi" w:cs="Times New Roman"/>
          <w:sz w:val="22"/>
          <w:lang w:eastAsia="en-US"/>
        </w:rPr>
        <w:t xml:space="preserve"> je povećan</w:t>
      </w:r>
      <w:r w:rsidR="00FF0EF7" w:rsidRPr="00FF0EF7">
        <w:rPr>
          <w:rFonts w:eastAsiaTheme="minorHAnsi" w:cs="Times New Roman"/>
          <w:sz w:val="22"/>
          <w:lang w:eastAsia="en-US"/>
        </w:rPr>
        <w:t xml:space="preserve"> – 311 (2024.), 325 (2025.)</w:t>
      </w:r>
      <w:r w:rsidR="00FF0EF7">
        <w:rPr>
          <w:rFonts w:eastAsiaTheme="minorHAnsi" w:cs="Times New Roman"/>
          <w:sz w:val="22"/>
          <w:lang w:eastAsia="en-US"/>
        </w:rPr>
        <w:t xml:space="preserve"> što uzrokuje </w:t>
      </w:r>
      <w:r w:rsidR="00FF0EF7" w:rsidRPr="00FF0EF7">
        <w:rPr>
          <w:rFonts w:eastAsiaTheme="minorHAnsi" w:cs="Times New Roman"/>
          <w:sz w:val="22"/>
          <w:lang w:eastAsia="en-US"/>
        </w:rPr>
        <w:t xml:space="preserve">povećanje rashoda za zaposlene – 11.901.896,34 EUR (2025.), 10.024.602,52 EUR (2024.), povećanje rashoda za </w:t>
      </w:r>
      <w:r w:rsidR="007C5337">
        <w:rPr>
          <w:rFonts w:eastAsiaTheme="minorHAnsi" w:cs="Times New Roman"/>
          <w:sz w:val="22"/>
          <w:lang w:eastAsia="en-US"/>
        </w:rPr>
        <w:t xml:space="preserve">zaposlene u iznosu </w:t>
      </w:r>
      <w:r w:rsidR="00FF0EF7" w:rsidRPr="00FF0EF7">
        <w:rPr>
          <w:rFonts w:eastAsiaTheme="minorHAnsi" w:cs="Times New Roman"/>
          <w:sz w:val="22"/>
          <w:lang w:eastAsia="en-US"/>
        </w:rPr>
        <w:t>1.877.293,82 EUR</w:t>
      </w:r>
      <w:r w:rsidR="007C5337">
        <w:rPr>
          <w:rFonts w:eastAsiaTheme="minorHAnsi" w:cs="Times New Roman"/>
          <w:sz w:val="22"/>
          <w:lang w:eastAsia="en-US"/>
        </w:rPr>
        <w:t xml:space="preserve">. </w:t>
      </w:r>
      <w:r w:rsidR="00800153">
        <w:rPr>
          <w:rFonts w:eastAsiaTheme="minorHAnsi" w:cs="Times New Roman"/>
          <w:sz w:val="22"/>
          <w:lang w:eastAsia="en-US"/>
        </w:rPr>
        <w:t>U 2025. godine na rast rashoda za zaposlene utjecale su i tri promjene osnovice za obračun plaća, nova sistematizacija radnih mjesta Sveučilišta Sjever, povećanje broja zaposlenih.</w:t>
      </w:r>
      <w:r w:rsidR="00800153">
        <w:rPr>
          <w:sz w:val="22"/>
        </w:rPr>
        <w:t xml:space="preserve"> Ostvareni su manji prihodi od </w:t>
      </w:r>
      <w:r w:rsidR="00FF0EF7" w:rsidRPr="00800153">
        <w:rPr>
          <w:rFonts w:cs="Times New Roman"/>
        </w:rPr>
        <w:t>naplat</w:t>
      </w:r>
      <w:r w:rsidR="00800153">
        <w:rPr>
          <w:rFonts w:cs="Times New Roman"/>
        </w:rPr>
        <w:t>e</w:t>
      </w:r>
      <w:r w:rsidR="00FF0EF7" w:rsidRPr="00800153">
        <w:rPr>
          <w:rFonts w:cs="Times New Roman"/>
        </w:rPr>
        <w:t xml:space="preserve"> školarina i upisnih pristojbi – 2.291.214,60 EUR (2025.), 2.456.829,75 EUR (2024.), smanjenje za 165.615,15 EUR</w:t>
      </w:r>
      <w:r w:rsidR="00800153">
        <w:rPr>
          <w:rFonts w:cs="Times New Roman"/>
        </w:rPr>
        <w:t>.</w:t>
      </w:r>
    </w:p>
    <w:p w:rsidR="0077119B" w:rsidRDefault="0077119B">
      <w:pPr>
        <w:spacing w:after="0"/>
        <w:rPr>
          <w:rFonts w:eastAsiaTheme="minorHAnsi" w:cs="Times New Roman"/>
          <w:sz w:val="22"/>
          <w:lang w:eastAsia="en-US"/>
        </w:rPr>
      </w:pPr>
    </w:p>
    <w:p w:rsidR="009C02A0" w:rsidRPr="00A278AA" w:rsidRDefault="009C02A0">
      <w:pPr>
        <w:spacing w:after="0"/>
        <w:rPr>
          <w:color w:val="FF0000"/>
          <w:sz w:val="22"/>
        </w:rPr>
      </w:pPr>
    </w:p>
    <w:p w:rsidR="009C02A0" w:rsidRPr="008B41F0" w:rsidRDefault="00A55912" w:rsidP="009C02A0">
      <w:pPr>
        <w:spacing w:line="240" w:lineRule="auto"/>
        <w:jc w:val="both"/>
        <w:rPr>
          <w:b/>
          <w:sz w:val="22"/>
        </w:rPr>
      </w:pPr>
      <w:r w:rsidRPr="008B41F0">
        <w:rPr>
          <w:b/>
          <w:sz w:val="22"/>
          <w:highlight w:val="yellow"/>
        </w:rPr>
        <w:t>RAZLIKA IZMEĐU REZULTATA KOJI JE UTVRĐEN NA DAN 31.12.2024. I KOREKCIJE REZULTATA POSLOVANJA</w:t>
      </w:r>
      <w:r w:rsidR="009C02A0" w:rsidRPr="008B41F0">
        <w:rPr>
          <w:b/>
          <w:sz w:val="22"/>
          <w:highlight w:val="yellow"/>
        </w:rPr>
        <w:t xml:space="preserve"> (9221-9222 str. 12)</w:t>
      </w:r>
    </w:p>
    <w:p w:rsidR="0077119B" w:rsidRDefault="00A55912" w:rsidP="005202BE">
      <w:pPr>
        <w:spacing w:line="240" w:lineRule="auto"/>
        <w:jc w:val="both"/>
        <w:rPr>
          <w:sz w:val="22"/>
        </w:rPr>
      </w:pPr>
      <w:r w:rsidRPr="008B41F0">
        <w:rPr>
          <w:sz w:val="22"/>
        </w:rPr>
        <w:t xml:space="preserve"> U financijskim izvještajima za razdoblje 01.01. – 31.12.2024. godine utvrđeni je višak i zajedno sa prenesenim viškom iz prethodnih razdoblja iznosio je 2.926.354,77 EUR. Tokom 2025. godine izvršena su pojedina knjiženja koja su utjecala na kretanje rezultata. Evidentiran je trošak putnog naloga iz 2024. godine koji nije teretio 2024. godinu i stornirani su pojedini računi dobavljača</w:t>
      </w:r>
      <w:r w:rsidR="008B41F0">
        <w:rPr>
          <w:sz w:val="22"/>
        </w:rPr>
        <w:t xml:space="preserve"> prema uskladi sa </w:t>
      </w:r>
      <w:r w:rsidR="008B41F0">
        <w:rPr>
          <w:sz w:val="22"/>
        </w:rPr>
        <w:lastRenderedPageBreak/>
        <w:t>dobavljačima i utvrđenom duplom knjiženju računa</w:t>
      </w:r>
      <w:r w:rsidRPr="008B41F0">
        <w:rPr>
          <w:sz w:val="22"/>
        </w:rPr>
        <w:t>, čime je umanjena obveza</w:t>
      </w:r>
      <w:r w:rsidR="008B41F0">
        <w:rPr>
          <w:sz w:val="22"/>
        </w:rPr>
        <w:t xml:space="preserve">. Sukladno uputama iz Okružnice o izradi financijskih izvještaja ispravio se rezultat poslovanja iz 2024. godine </w:t>
      </w:r>
      <w:r w:rsidR="00C26E18">
        <w:rPr>
          <w:sz w:val="22"/>
        </w:rPr>
        <w:t>i svaka transakcija promjene na rezultatu poslovanja knjižena je na konto 92214 Višak prihoda poslovanja – ispravci iz prethodnih razdoblja i 92224 Manjak prihoda poslovanja – ispravci iz prethodnih razdoblja. Oba konta su zatvorena na dan 31.12.2025. i stanja su prenesena</w:t>
      </w:r>
      <w:r w:rsidR="00A44A35">
        <w:rPr>
          <w:sz w:val="22"/>
        </w:rPr>
        <w:t xml:space="preserve"> na konto viška prihoda poslovanja. I</w:t>
      </w:r>
      <w:r w:rsidRPr="008B41F0">
        <w:rPr>
          <w:sz w:val="22"/>
        </w:rPr>
        <w:t>zvršen</w:t>
      </w:r>
      <w:r w:rsidR="00A44A35">
        <w:rPr>
          <w:sz w:val="22"/>
        </w:rPr>
        <w:t>e su</w:t>
      </w:r>
      <w:r w:rsidRPr="008B41F0">
        <w:rPr>
          <w:sz w:val="22"/>
        </w:rPr>
        <w:t xml:space="preserve"> uskla</w:t>
      </w:r>
      <w:r w:rsidR="00A44A35">
        <w:rPr>
          <w:sz w:val="22"/>
        </w:rPr>
        <w:t>de</w:t>
      </w:r>
      <w:r w:rsidRPr="008B41F0">
        <w:rPr>
          <w:sz w:val="22"/>
        </w:rPr>
        <w:t xml:space="preserve"> stanja izvora financiranja sukladno novom Pravilniku. </w:t>
      </w:r>
      <w:r w:rsidR="00A44A35">
        <w:rPr>
          <w:sz w:val="22"/>
        </w:rPr>
        <w:t>Iznos konačne korekcije rezultata iznosio je -50.967,91 EUR, odnosno korigirani preneseni višak iz 2024. godine iznosi 2.875.386,86 EUR i koristiti će se za pokriće tekućeg rezultata poslovanja za 2025. godinu.</w:t>
      </w:r>
    </w:p>
    <w:p w:rsidR="005202BE" w:rsidRPr="005202BE" w:rsidRDefault="005202BE" w:rsidP="005202BE">
      <w:pPr>
        <w:shd w:val="clear" w:color="auto" w:fill="FFFFFF"/>
        <w:spacing w:line="235" w:lineRule="atLeast"/>
        <w:jc w:val="both"/>
        <w:rPr>
          <w:rFonts w:eastAsia="Times New Roman" w:cs="Times New Roman"/>
          <w:sz w:val="22"/>
        </w:rPr>
      </w:pPr>
      <w:bookmarkStart w:id="3" w:name="_GoBack"/>
      <w:r w:rsidRPr="005202BE">
        <w:rPr>
          <w:rFonts w:eastAsia="Times New Roman" w:cs="Times New Roman"/>
          <w:sz w:val="22"/>
        </w:rPr>
        <w:t xml:space="preserve">Na projektu UNIHEATH izvršen je ispravak knjiženja u iznosu od 16.000,00 EUR, na način da je korigiran financijski rezultat te je iskazana obveza za primljeni predujam. Tijekom izvještajnog razdoblja opravdana su sredstva u iznosu od 14.377,03 EUR, čime je u navedenom iznosu zatvoren dio predujma te su priznati pripadajući prihodi. Na projektu </w:t>
      </w:r>
      <w:proofErr w:type="spellStart"/>
      <w:r w:rsidRPr="005202BE">
        <w:rPr>
          <w:rFonts w:eastAsia="Times New Roman" w:cs="Times New Roman"/>
          <w:sz w:val="22"/>
        </w:rPr>
        <w:t>Erasmus</w:t>
      </w:r>
      <w:proofErr w:type="spellEnd"/>
      <w:r w:rsidRPr="005202BE">
        <w:rPr>
          <w:rFonts w:eastAsia="Times New Roman" w:cs="Times New Roman"/>
          <w:sz w:val="22"/>
        </w:rPr>
        <w:t xml:space="preserve"> BIOSHIELD  izvršen je ispravak knjiženja u iznosu od 33.704,00 EUR, pri čemu je korigiran financijski rezultat te je iskazana obveza za primljeni predujam. Za programe mobilnosti koje je uplatila Agencija za mobilnost i programe Europske unije, uplaćena sredstva predujma po ugovoru o dodjeli bespovratnih sredstava ERASMUS+ 2025 KA131 evidentirana su kao obveza za primljeni predujam u iznosu od 167.632,80 EUR, dok su sredstva po ugovoru o dodjeli bespovratnih sredstava ERASMUS+ 2025 KA171 evidentirana u iznosu od 123.901,60 EUR. Na projektu SPIN – Grafit  na odobrenom zahtjevu za nadoknadom sredstava utvrđeno je da je odobreno 9,61 EUR više troškova za redovan rad djelatnika nego što je stvarno isplaćeno. Navedena sredstva knjižena su na predujam te će ista biti prebijena u sljedećem Zahtjevu za nadoknadom sredstava.</w:t>
      </w:r>
    </w:p>
    <w:bookmarkEnd w:id="3"/>
    <w:p w:rsidR="00A278AA" w:rsidRPr="00A278AA" w:rsidRDefault="00A278AA">
      <w:pPr>
        <w:rPr>
          <w:color w:val="FF0000"/>
          <w:sz w:val="22"/>
        </w:rPr>
      </w:pPr>
    </w:p>
    <w:p w:rsidR="00A278AA" w:rsidRPr="00A278AA" w:rsidRDefault="00A278AA" w:rsidP="00A278AA">
      <w:pPr>
        <w:autoSpaceDE w:val="0"/>
        <w:autoSpaceDN w:val="0"/>
        <w:adjustRightInd w:val="0"/>
        <w:spacing w:line="276" w:lineRule="auto"/>
        <w:jc w:val="both"/>
        <w:rPr>
          <w:rFonts w:cs="Times New Roman"/>
          <w:b/>
          <w:iCs/>
          <w:noProof/>
          <w:sz w:val="22"/>
        </w:rPr>
      </w:pPr>
      <w:r w:rsidRPr="00A278AA">
        <w:rPr>
          <w:rFonts w:cs="Times New Roman"/>
          <w:b/>
          <w:iCs/>
          <w:noProof/>
          <w:sz w:val="22"/>
          <w:highlight w:val="yellow"/>
        </w:rPr>
        <w:t>BROJ ZAPOSLENIH</w:t>
      </w:r>
    </w:p>
    <w:p w:rsidR="00A278AA" w:rsidRDefault="00A278AA" w:rsidP="00A278AA">
      <w:pPr>
        <w:autoSpaceDE w:val="0"/>
        <w:autoSpaceDN w:val="0"/>
        <w:adjustRightInd w:val="0"/>
        <w:spacing w:line="276" w:lineRule="auto"/>
        <w:jc w:val="both"/>
        <w:rPr>
          <w:rFonts w:cs="Times New Roman"/>
          <w:iCs/>
          <w:noProof/>
          <w:sz w:val="22"/>
        </w:rPr>
      </w:pPr>
      <w:r w:rsidRPr="00A278AA">
        <w:rPr>
          <w:rFonts w:cs="Times New Roman"/>
          <w:iCs/>
          <w:noProof/>
          <w:sz w:val="22"/>
        </w:rPr>
        <w:t>Na dan 31. prosinac 202</w:t>
      </w:r>
      <w:r>
        <w:rPr>
          <w:rFonts w:cs="Times New Roman"/>
          <w:iCs/>
          <w:noProof/>
          <w:sz w:val="22"/>
        </w:rPr>
        <w:t>5</w:t>
      </w:r>
      <w:r w:rsidRPr="00A278AA">
        <w:rPr>
          <w:rFonts w:cs="Times New Roman"/>
          <w:iCs/>
          <w:noProof/>
          <w:sz w:val="22"/>
        </w:rPr>
        <w:t>. godine Sveučilište Sjever zapošljava ukupno 3</w:t>
      </w:r>
      <w:r>
        <w:rPr>
          <w:rFonts w:cs="Times New Roman"/>
          <w:iCs/>
          <w:noProof/>
          <w:sz w:val="22"/>
        </w:rPr>
        <w:t>25</w:t>
      </w:r>
      <w:r w:rsidRPr="00A278AA">
        <w:rPr>
          <w:rFonts w:cs="Times New Roman"/>
          <w:iCs/>
          <w:noProof/>
          <w:sz w:val="22"/>
        </w:rPr>
        <w:t xml:space="preserve"> zaposlenika, što je u odnosu na isto razdoblje prošle godine povećanje za </w:t>
      </w:r>
      <w:r>
        <w:rPr>
          <w:rFonts w:cs="Times New Roman"/>
          <w:iCs/>
          <w:noProof/>
          <w:sz w:val="22"/>
        </w:rPr>
        <w:t>4,5</w:t>
      </w:r>
      <w:r w:rsidRPr="00A278AA">
        <w:rPr>
          <w:rFonts w:cs="Times New Roman"/>
          <w:iCs/>
          <w:noProof/>
          <w:sz w:val="22"/>
        </w:rPr>
        <w:t xml:space="preserve"> % (na dan 31.12.202</w:t>
      </w:r>
      <w:r>
        <w:rPr>
          <w:rFonts w:cs="Times New Roman"/>
          <w:iCs/>
          <w:noProof/>
          <w:sz w:val="22"/>
        </w:rPr>
        <w:t>4</w:t>
      </w:r>
      <w:r w:rsidRPr="00A278AA">
        <w:rPr>
          <w:rFonts w:cs="Times New Roman"/>
          <w:iCs/>
          <w:noProof/>
          <w:sz w:val="22"/>
        </w:rPr>
        <w:t xml:space="preserve">. broj zaposlenika iznosio je </w:t>
      </w:r>
      <w:r>
        <w:rPr>
          <w:rFonts w:cs="Times New Roman"/>
          <w:iCs/>
          <w:noProof/>
          <w:sz w:val="22"/>
        </w:rPr>
        <w:t>311</w:t>
      </w:r>
      <w:r w:rsidRPr="00A278AA">
        <w:rPr>
          <w:rFonts w:cs="Times New Roman"/>
          <w:iCs/>
          <w:noProof/>
          <w:sz w:val="22"/>
        </w:rPr>
        <w:t>).</w:t>
      </w:r>
      <w:r>
        <w:rPr>
          <w:rFonts w:cs="Times New Roman"/>
          <w:iCs/>
          <w:noProof/>
          <w:sz w:val="22"/>
        </w:rPr>
        <w:t xml:space="preserve"> Godišnji prosjek broja zaposlenih </w:t>
      </w:r>
      <w:r w:rsidR="00D3420F">
        <w:rPr>
          <w:rFonts w:cs="Times New Roman"/>
          <w:iCs/>
          <w:noProof/>
          <w:sz w:val="22"/>
        </w:rPr>
        <w:t>iznosi 300 zaposlenika (216 osoba zaposlenih u punome radnom vremenu, a 84 u kraćem od punog radnog odnosa). Promatrajući broj zaposlenika po starosti i spolu, od ukupnog broja zaposlenih (325), na Sveučilištu Sjever zaposleno je 165 žena i 160 muškaraca, a prema starosti zaposlenika, najviše zaposlenika (njih 68) ima raspon godina starosti od 50 – 54, nakon čega slijede zaposlenici od 40-44 godina starosti (njih 50), a najmanji broj zaposlenih nalazi se u kategoriji 19 – 24 godina starosti (2 zaposlenika).</w:t>
      </w:r>
    </w:p>
    <w:p w:rsidR="00D3420F" w:rsidRPr="00D3420F" w:rsidRDefault="00D3420F" w:rsidP="00A278AA">
      <w:pPr>
        <w:autoSpaceDE w:val="0"/>
        <w:autoSpaceDN w:val="0"/>
        <w:adjustRightInd w:val="0"/>
        <w:spacing w:line="276" w:lineRule="auto"/>
        <w:jc w:val="both"/>
        <w:rPr>
          <w:rFonts w:cs="Times New Roman"/>
          <w:i/>
          <w:iCs/>
          <w:noProof/>
          <w:sz w:val="22"/>
        </w:rPr>
      </w:pPr>
      <w:r w:rsidRPr="00D3420F">
        <w:rPr>
          <w:rFonts w:cs="Times New Roman"/>
          <w:i/>
          <w:iCs/>
          <w:noProof/>
          <w:sz w:val="22"/>
        </w:rPr>
        <w:t>*podaci su dobiveni kroz izvještaj „Obrazac RAD-1G - Godišnji izvještaj o zaposlenima i isplaćenoj plaći za mjesec prosinac 2025.“ dobiven je generiranjem podataka iz računovodstveno / administrativnog programa Sveučilišta Sjever</w:t>
      </w:r>
    </w:p>
    <w:p w:rsidR="00A278AA" w:rsidRPr="00A278AA" w:rsidRDefault="00A278AA">
      <w:pPr>
        <w:rPr>
          <w:color w:val="FF0000"/>
          <w:sz w:val="22"/>
        </w:rPr>
      </w:pPr>
    </w:p>
    <w:p w:rsidR="00FA2BDA" w:rsidRPr="0091358A" w:rsidRDefault="00FA2BDA" w:rsidP="00FA2BDA">
      <w:pPr>
        <w:spacing w:after="0"/>
        <w:jc w:val="both"/>
        <w:rPr>
          <w:b/>
          <w:sz w:val="22"/>
          <w:highlight w:val="yellow"/>
        </w:rPr>
      </w:pPr>
      <w:r w:rsidRPr="0091358A">
        <w:rPr>
          <w:b/>
          <w:sz w:val="22"/>
          <w:highlight w:val="yellow"/>
        </w:rPr>
        <w:t xml:space="preserve">STANJE ŽIRORAČUNA SVEUČILIŠTA SJEVER NA DAN 31.12.2025. – </w:t>
      </w:r>
    </w:p>
    <w:p w:rsidR="00FA2BDA" w:rsidRDefault="00FA2BDA" w:rsidP="00FA2BDA">
      <w:pPr>
        <w:spacing w:after="0"/>
        <w:jc w:val="both"/>
        <w:rPr>
          <w:b/>
          <w:sz w:val="22"/>
        </w:rPr>
      </w:pPr>
    </w:p>
    <w:p w:rsidR="00FA2BDA" w:rsidRPr="00703342" w:rsidRDefault="00FA2BDA" w:rsidP="00FA2BDA">
      <w:pPr>
        <w:spacing w:after="0"/>
        <w:jc w:val="both"/>
        <w:rPr>
          <w:sz w:val="22"/>
        </w:rPr>
      </w:pPr>
      <w:bookmarkStart w:id="4" w:name="_Hlk220659099"/>
      <w:r w:rsidRPr="00703342">
        <w:rPr>
          <w:sz w:val="22"/>
        </w:rPr>
        <w:t xml:space="preserve">Sveučilište Sjever na dan 31.12.2025. godine raspolaže sa 3.540.308,03 EUR na </w:t>
      </w:r>
      <w:proofErr w:type="spellStart"/>
      <w:r w:rsidRPr="00703342">
        <w:rPr>
          <w:sz w:val="22"/>
        </w:rPr>
        <w:t>multivalutnom</w:t>
      </w:r>
      <w:proofErr w:type="spellEnd"/>
      <w:r w:rsidRPr="00703342">
        <w:rPr>
          <w:sz w:val="22"/>
        </w:rPr>
        <w:t xml:space="preserve"> žiroračunu otvorenom u Hrvatskoj poštanskoj banci d.d. (IBAN 4923900011101386168). </w:t>
      </w:r>
      <w:r w:rsidR="00703342" w:rsidRPr="00703342">
        <w:rPr>
          <w:sz w:val="22"/>
        </w:rPr>
        <w:t xml:space="preserve">Na dan 01.01.2025. godine stanje žiroračuna Sveučilišta iznosilo je 3.920.677,50 EUR. </w:t>
      </w:r>
      <w:r w:rsidRPr="00703342">
        <w:rPr>
          <w:sz w:val="22"/>
        </w:rPr>
        <w:t>Tokom proračunske 2025. godine na žiroračunu je zabilježen</w:t>
      </w:r>
      <w:r w:rsidR="00833A3D" w:rsidRPr="00703342">
        <w:rPr>
          <w:sz w:val="22"/>
        </w:rPr>
        <w:t>o</w:t>
      </w:r>
      <w:r w:rsidRPr="00703342">
        <w:rPr>
          <w:sz w:val="22"/>
        </w:rPr>
        <w:t xml:space="preserve"> priljeva u vrijednosti </w:t>
      </w:r>
      <w:r w:rsidR="00703342" w:rsidRPr="00703342">
        <w:rPr>
          <w:sz w:val="22"/>
        </w:rPr>
        <w:t>6.783.273,26</w:t>
      </w:r>
      <w:r w:rsidRPr="00703342">
        <w:rPr>
          <w:sz w:val="22"/>
        </w:rPr>
        <w:t xml:space="preserve"> </w:t>
      </w:r>
      <w:r w:rsidR="00833A3D" w:rsidRPr="00703342">
        <w:rPr>
          <w:sz w:val="22"/>
        </w:rPr>
        <w:t xml:space="preserve">EUR i odljeva sredstava </w:t>
      </w:r>
      <w:r w:rsidR="00703342" w:rsidRPr="00703342">
        <w:rPr>
          <w:sz w:val="22"/>
        </w:rPr>
        <w:t xml:space="preserve">7.163.642,73 </w:t>
      </w:r>
      <w:r w:rsidR="00833A3D" w:rsidRPr="00703342">
        <w:rPr>
          <w:sz w:val="22"/>
        </w:rPr>
        <w:t>EUR.</w:t>
      </w:r>
      <w:r w:rsidR="00D17DB8" w:rsidRPr="00703342">
        <w:rPr>
          <w:sz w:val="22"/>
        </w:rPr>
        <w:t xml:space="preserve"> Posljednji evidentirani broj izvoda sa žiroračuna Sveučilišta zabilježen na dan 31.12.2025. je </w:t>
      </w:r>
      <w:r w:rsidR="00703342" w:rsidRPr="00703342">
        <w:rPr>
          <w:sz w:val="22"/>
        </w:rPr>
        <w:t xml:space="preserve">broj </w:t>
      </w:r>
      <w:r w:rsidR="00D17DB8" w:rsidRPr="00703342">
        <w:rPr>
          <w:sz w:val="22"/>
        </w:rPr>
        <w:t>290.</w:t>
      </w:r>
    </w:p>
    <w:bookmarkEnd w:id="4"/>
    <w:p w:rsidR="0087387D" w:rsidRDefault="0087387D" w:rsidP="00FA2BDA">
      <w:pPr>
        <w:spacing w:after="0"/>
        <w:jc w:val="both"/>
        <w:rPr>
          <w:sz w:val="22"/>
        </w:rPr>
      </w:pPr>
    </w:p>
    <w:p w:rsidR="008421BA" w:rsidRDefault="008421BA" w:rsidP="00FA2BDA">
      <w:pPr>
        <w:spacing w:after="0"/>
        <w:jc w:val="both"/>
        <w:rPr>
          <w:sz w:val="22"/>
        </w:rPr>
      </w:pPr>
    </w:p>
    <w:p w:rsidR="00A278AA" w:rsidRPr="00A278AA" w:rsidRDefault="00A278AA">
      <w:pPr>
        <w:rPr>
          <w:color w:val="FF0000"/>
          <w:sz w:val="22"/>
        </w:rPr>
      </w:pPr>
    </w:p>
    <w:p w:rsidR="0077119B" w:rsidRPr="00906A04" w:rsidRDefault="00A55912" w:rsidP="00750E0E">
      <w:pPr>
        <w:keepNext/>
        <w:spacing w:line="240" w:lineRule="auto"/>
        <w:jc w:val="center"/>
        <w:rPr>
          <w:sz w:val="22"/>
        </w:rPr>
      </w:pPr>
      <w:r w:rsidRPr="00906A04">
        <w:rPr>
          <w:b/>
          <w:sz w:val="22"/>
          <w:highlight w:val="yellow"/>
        </w:rPr>
        <w:lastRenderedPageBreak/>
        <w:t>Izvještaj o obvezama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50E0E" w:rsidRPr="00750E0E" w:rsidTr="00750E0E">
        <w:trPr>
          <w:cantSplit/>
        </w:trPr>
        <w:tc>
          <w:tcPr>
            <w:tcW w:w="700" w:type="dxa"/>
            <w:shd w:val="clear" w:color="auto" w:fill="FFFF00"/>
            <w:tcMar>
              <w:top w:w="0" w:type="dxa"/>
              <w:bottom w:w="0" w:type="dxa"/>
            </w:tcMar>
            <w:vAlign w:val="center"/>
          </w:tcPr>
          <w:p w:rsidR="0077119B" w:rsidRPr="00750E0E" w:rsidRDefault="00A55912">
            <w:pPr>
              <w:keepNext/>
              <w:keepLines/>
              <w:spacing w:after="0" w:line="240" w:lineRule="auto"/>
              <w:jc w:val="center"/>
              <w:rPr>
                <w:sz w:val="22"/>
              </w:rPr>
            </w:pPr>
            <w:r w:rsidRPr="00750E0E">
              <w:rPr>
                <w:b/>
                <w:sz w:val="22"/>
              </w:rPr>
              <w:t xml:space="preserve">Račun iz </w:t>
            </w:r>
            <w:proofErr w:type="spellStart"/>
            <w:r w:rsidRPr="00750E0E">
              <w:rPr>
                <w:b/>
                <w:sz w:val="22"/>
              </w:rPr>
              <w:t>rač</w:t>
            </w:r>
            <w:proofErr w:type="spellEnd"/>
            <w:r w:rsidRPr="00750E0E">
              <w:rPr>
                <w:b/>
                <w:sz w:val="22"/>
              </w:rPr>
              <w:t>. plana</w:t>
            </w:r>
          </w:p>
        </w:tc>
        <w:tc>
          <w:tcPr>
            <w:tcW w:w="3180" w:type="dxa"/>
            <w:shd w:val="clear" w:color="auto" w:fill="FFFF00"/>
            <w:tcMar>
              <w:top w:w="0" w:type="dxa"/>
              <w:bottom w:w="0" w:type="dxa"/>
            </w:tcMar>
            <w:vAlign w:val="center"/>
          </w:tcPr>
          <w:p w:rsidR="0077119B" w:rsidRPr="00750E0E" w:rsidRDefault="00A55912">
            <w:pPr>
              <w:keepNext/>
              <w:keepLines/>
              <w:spacing w:after="0" w:line="240" w:lineRule="auto"/>
              <w:jc w:val="center"/>
              <w:rPr>
                <w:sz w:val="22"/>
              </w:rPr>
            </w:pPr>
            <w:r w:rsidRPr="00750E0E">
              <w:rPr>
                <w:b/>
                <w:sz w:val="22"/>
              </w:rPr>
              <w:t>Opis stavke</w:t>
            </w:r>
          </w:p>
        </w:tc>
        <w:tc>
          <w:tcPr>
            <w:tcW w:w="700" w:type="dxa"/>
            <w:shd w:val="clear" w:color="auto" w:fill="FFFF00"/>
            <w:tcMar>
              <w:top w:w="0" w:type="dxa"/>
              <w:bottom w:w="0" w:type="dxa"/>
            </w:tcMar>
            <w:vAlign w:val="center"/>
          </w:tcPr>
          <w:p w:rsidR="0077119B" w:rsidRPr="00750E0E" w:rsidRDefault="00A55912">
            <w:pPr>
              <w:keepNext/>
              <w:keepLines/>
              <w:spacing w:after="0" w:line="240" w:lineRule="auto"/>
              <w:jc w:val="center"/>
              <w:rPr>
                <w:sz w:val="22"/>
              </w:rPr>
            </w:pPr>
            <w:r w:rsidRPr="00750E0E">
              <w:rPr>
                <w:b/>
                <w:sz w:val="22"/>
              </w:rPr>
              <w:t>Šifra</w:t>
            </w:r>
          </w:p>
        </w:tc>
        <w:tc>
          <w:tcPr>
            <w:tcW w:w="1860" w:type="dxa"/>
            <w:shd w:val="clear" w:color="auto" w:fill="FFFF00"/>
            <w:tcMar>
              <w:top w:w="0" w:type="dxa"/>
              <w:bottom w:w="0" w:type="dxa"/>
            </w:tcMar>
            <w:vAlign w:val="center"/>
          </w:tcPr>
          <w:p w:rsidR="0077119B" w:rsidRPr="00750E0E" w:rsidRDefault="00A55912">
            <w:pPr>
              <w:keepNext/>
              <w:keepLines/>
              <w:spacing w:after="0" w:line="240" w:lineRule="auto"/>
              <w:jc w:val="center"/>
              <w:rPr>
                <w:sz w:val="22"/>
              </w:rPr>
            </w:pPr>
            <w:r w:rsidRPr="00750E0E">
              <w:rPr>
                <w:b/>
                <w:sz w:val="22"/>
              </w:rPr>
              <w:t>Iznos</w:t>
            </w:r>
          </w:p>
        </w:tc>
        <w:tc>
          <w:tcPr>
            <w:tcW w:w="700" w:type="dxa"/>
            <w:shd w:val="clear" w:color="auto" w:fill="FFFF00"/>
            <w:tcMar>
              <w:top w:w="0" w:type="dxa"/>
              <w:bottom w:w="0" w:type="dxa"/>
            </w:tcMar>
            <w:vAlign w:val="center"/>
          </w:tcPr>
          <w:p w:rsidR="0077119B" w:rsidRPr="00750E0E" w:rsidRDefault="00A55912">
            <w:pPr>
              <w:keepNext/>
              <w:keepLines/>
              <w:spacing w:after="0" w:line="240" w:lineRule="auto"/>
              <w:jc w:val="center"/>
              <w:rPr>
                <w:sz w:val="22"/>
              </w:rPr>
            </w:pPr>
            <w:r w:rsidRPr="00750E0E">
              <w:rPr>
                <w:b/>
                <w:sz w:val="22"/>
              </w:rPr>
              <w:t>Indeks (%)</w:t>
            </w:r>
          </w:p>
        </w:tc>
      </w:tr>
      <w:tr w:rsidR="0077119B" w:rsidRPr="00750E0E">
        <w:trPr>
          <w:cantSplit/>
          <w:trHeight w:val="560"/>
        </w:trPr>
        <w:tc>
          <w:tcPr>
            <w:tcW w:w="700" w:type="dxa"/>
            <w:tcMar>
              <w:top w:w="0" w:type="dxa"/>
              <w:bottom w:w="0" w:type="dxa"/>
            </w:tcMar>
            <w:vAlign w:val="center"/>
          </w:tcPr>
          <w:p w:rsidR="0077119B" w:rsidRPr="00750E0E" w:rsidRDefault="0077119B">
            <w:pPr>
              <w:keepNext/>
              <w:keepLines/>
              <w:spacing w:after="0" w:line="240" w:lineRule="auto"/>
              <w:rPr>
                <w:sz w:val="22"/>
              </w:rPr>
            </w:pPr>
          </w:p>
        </w:tc>
        <w:tc>
          <w:tcPr>
            <w:tcW w:w="3180" w:type="dxa"/>
            <w:tcMar>
              <w:top w:w="0" w:type="dxa"/>
              <w:bottom w:w="0" w:type="dxa"/>
            </w:tcMar>
            <w:vAlign w:val="center"/>
          </w:tcPr>
          <w:p w:rsidR="0077119B" w:rsidRPr="00750E0E" w:rsidRDefault="00A55912">
            <w:pPr>
              <w:keepNext/>
              <w:keepLines/>
              <w:spacing w:after="0" w:line="240" w:lineRule="auto"/>
              <w:rPr>
                <w:sz w:val="22"/>
              </w:rPr>
            </w:pPr>
            <w:r w:rsidRPr="00750E0E">
              <w:rPr>
                <w:sz w:val="22"/>
              </w:rPr>
              <w:t>Međusobne obveze subjekata općeg proračuna</w:t>
            </w:r>
          </w:p>
        </w:tc>
        <w:tc>
          <w:tcPr>
            <w:tcW w:w="700" w:type="dxa"/>
            <w:tcMar>
              <w:top w:w="0" w:type="dxa"/>
              <w:bottom w:w="0" w:type="dxa"/>
            </w:tcMar>
            <w:vAlign w:val="center"/>
          </w:tcPr>
          <w:p w:rsidR="0077119B" w:rsidRPr="00750E0E" w:rsidRDefault="00A55912">
            <w:pPr>
              <w:keepNext/>
              <w:keepLines/>
              <w:spacing w:after="0" w:line="240" w:lineRule="auto"/>
              <w:rPr>
                <w:sz w:val="22"/>
              </w:rPr>
            </w:pPr>
            <w:r w:rsidRPr="00750E0E">
              <w:rPr>
                <w:sz w:val="22"/>
              </w:rPr>
              <w:t>V005</w:t>
            </w:r>
          </w:p>
        </w:tc>
        <w:tc>
          <w:tcPr>
            <w:tcW w:w="1860" w:type="dxa"/>
            <w:tcMar>
              <w:top w:w="0" w:type="dxa"/>
              <w:bottom w:w="0" w:type="dxa"/>
            </w:tcMar>
            <w:vAlign w:val="center"/>
          </w:tcPr>
          <w:p w:rsidR="0077119B" w:rsidRPr="00750E0E" w:rsidRDefault="00750E0E">
            <w:pPr>
              <w:keepNext/>
              <w:keepLines/>
              <w:spacing w:after="0" w:line="240" w:lineRule="auto"/>
              <w:jc w:val="right"/>
              <w:rPr>
                <w:sz w:val="22"/>
              </w:rPr>
            </w:pPr>
            <w:r>
              <w:rPr>
                <w:sz w:val="22"/>
              </w:rPr>
              <w:t>53.136,98</w:t>
            </w:r>
          </w:p>
        </w:tc>
        <w:tc>
          <w:tcPr>
            <w:tcW w:w="700" w:type="dxa"/>
            <w:tcMar>
              <w:top w:w="0" w:type="dxa"/>
              <w:bottom w:w="0" w:type="dxa"/>
            </w:tcMar>
            <w:vAlign w:val="center"/>
          </w:tcPr>
          <w:p w:rsidR="0077119B" w:rsidRPr="00750E0E" w:rsidRDefault="00A55912">
            <w:pPr>
              <w:keepNext/>
              <w:keepLines/>
              <w:spacing w:after="0" w:line="240" w:lineRule="auto"/>
              <w:jc w:val="right"/>
              <w:rPr>
                <w:sz w:val="22"/>
              </w:rPr>
            </w:pPr>
            <w:r w:rsidRPr="00750E0E">
              <w:rPr>
                <w:sz w:val="22"/>
              </w:rPr>
              <w:t>-</w:t>
            </w:r>
          </w:p>
        </w:tc>
      </w:tr>
    </w:tbl>
    <w:p w:rsidR="0077119B" w:rsidRPr="00A278AA" w:rsidRDefault="0077119B">
      <w:pPr>
        <w:spacing w:after="0"/>
        <w:rPr>
          <w:color w:val="FF0000"/>
          <w:sz w:val="22"/>
        </w:rPr>
      </w:pPr>
    </w:p>
    <w:p w:rsidR="0077119B" w:rsidRPr="009D247E" w:rsidRDefault="00A55912">
      <w:pPr>
        <w:spacing w:line="240" w:lineRule="auto"/>
        <w:jc w:val="both"/>
        <w:rPr>
          <w:sz w:val="22"/>
        </w:rPr>
      </w:pPr>
      <w:r w:rsidRPr="009D247E">
        <w:rPr>
          <w:sz w:val="22"/>
        </w:rPr>
        <w:t xml:space="preserve">MEĐUSOBNE OBVEZE  </w:t>
      </w:r>
      <w:proofErr w:type="spellStart"/>
      <w:r w:rsidRPr="009D247E">
        <w:rPr>
          <w:sz w:val="22"/>
        </w:rPr>
        <w:t>Obveze</w:t>
      </w:r>
      <w:proofErr w:type="spellEnd"/>
      <w:r w:rsidRPr="009D247E">
        <w:rPr>
          <w:sz w:val="22"/>
        </w:rPr>
        <w:t xml:space="preserve"> stvorene između obveznika predaje financijskih izvještaja u Registru proračunskih i izvanproračunskih korisnika prikazuju se zbirno u kategoriji međusobne obveze subjekata općeg proračuna. Povećanje međusobnih obveza subjekata općeg proračuna u izvještajnom razdoblju 01.01.-3</w:t>
      </w:r>
      <w:r w:rsidR="00D747B3">
        <w:rPr>
          <w:sz w:val="22"/>
        </w:rPr>
        <w:t>1</w:t>
      </w:r>
      <w:r w:rsidRPr="009D247E">
        <w:rPr>
          <w:sz w:val="22"/>
        </w:rPr>
        <w:t>.</w:t>
      </w:r>
      <w:r w:rsidR="00D747B3">
        <w:rPr>
          <w:sz w:val="22"/>
        </w:rPr>
        <w:t>12</w:t>
      </w:r>
      <w:r w:rsidRPr="009D247E">
        <w:rPr>
          <w:sz w:val="22"/>
        </w:rPr>
        <w:t xml:space="preserve">.2025. godine (V003) iznosi </w:t>
      </w:r>
      <w:r w:rsidR="00D747B3">
        <w:rPr>
          <w:sz w:val="22"/>
        </w:rPr>
        <w:t>89.016,02</w:t>
      </w:r>
      <w:r w:rsidRPr="009D247E">
        <w:rPr>
          <w:sz w:val="22"/>
        </w:rPr>
        <w:t xml:space="preserve"> EUR, dok su podmirene međusobne obveze (V005) iznosile </w:t>
      </w:r>
      <w:r w:rsidR="00D747B3">
        <w:rPr>
          <w:sz w:val="22"/>
        </w:rPr>
        <w:t>53.136,98</w:t>
      </w:r>
      <w:r w:rsidRPr="009D247E">
        <w:rPr>
          <w:sz w:val="22"/>
        </w:rPr>
        <w:t xml:space="preserve"> EUR. Podmirene međusobne obveze (</w:t>
      </w:r>
      <w:r w:rsidR="00D747B3">
        <w:rPr>
          <w:sz w:val="22"/>
        </w:rPr>
        <w:t>53.136,98</w:t>
      </w:r>
      <w:r w:rsidRPr="009D247E">
        <w:rPr>
          <w:sz w:val="22"/>
        </w:rPr>
        <w:t xml:space="preserve"> EUR), odnose se na povrat neiskorištenih sredstava uplaćenih u Državni proračun Republike Hrvatske za sistematske preglede zaposlenika Sveučilišta (sredstva su uplaćena iz programa A679080 Redovna djelatnost Sveučilište Sjever za 2024. godinu, odjeljak 3236 Zdravstvene i veterinarske usluge) u iznosu 27.840 EUR (sredstva su vraćena u Državni proračun 21. siječnja 2025. godine). Iznos povećanja međusobnih obveza</w:t>
      </w:r>
      <w:r w:rsidR="00D747B3">
        <w:rPr>
          <w:sz w:val="22"/>
        </w:rPr>
        <w:t xml:space="preserve"> </w:t>
      </w:r>
      <w:r w:rsidRPr="009D247E">
        <w:rPr>
          <w:sz w:val="22"/>
        </w:rPr>
        <w:t>odnose se na povrat sredstava koje refundira Hrvatski zavod za zdravstveno osiguranje (potraživanje isplaćenih naknada za bolovanje iznad 42 dana). Sukladno Pravilniku, obveze za poreze, doprinose, obveze za porez na dodanu vrijednost i ostala davanja državi prikazana su kao dio izvorne obveze po prirodnoj vrsti kojoj pripadaju i ne tretiraju se kao međusobne obveze.</w:t>
      </w:r>
      <w:r w:rsidR="009D09D2">
        <w:rPr>
          <w:sz w:val="22"/>
        </w:rPr>
        <w:t xml:space="preserve"> Na kontima obveza za predujmove zabilježene su pretplate studenata po više uplaćenim školarinama i popratnim troškovima, koje se vraćaju prilikom ispisa ili završetka studija. Sukladno novom Pravilniku, svi predujmovi </w:t>
      </w:r>
      <w:r w:rsidR="003E69DA">
        <w:rPr>
          <w:sz w:val="22"/>
        </w:rPr>
        <w:t>dobiveni iz izvora EU projekata ne priznaju se u trenutku uplate kao prihod nego po odobrenju završnog izvještaja ili nastanku rashoda (sukladno uputama).</w:t>
      </w:r>
    </w:p>
    <w:p w:rsidR="0077119B" w:rsidRPr="00A278AA" w:rsidRDefault="0077119B" w:rsidP="003E69DA">
      <w:pPr>
        <w:keepNext/>
        <w:spacing w:line="240" w:lineRule="auto"/>
        <w:rPr>
          <w:color w:val="FF0000"/>
          <w:sz w:val="22"/>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69DA" w:rsidRPr="003E69DA" w:rsidTr="003E69DA">
        <w:trPr>
          <w:cantSplit/>
        </w:trPr>
        <w:tc>
          <w:tcPr>
            <w:tcW w:w="700" w:type="dxa"/>
            <w:shd w:val="clear" w:color="auto" w:fill="FFFF00"/>
            <w:tcMar>
              <w:top w:w="0" w:type="dxa"/>
              <w:bottom w:w="0" w:type="dxa"/>
            </w:tcMar>
            <w:vAlign w:val="center"/>
          </w:tcPr>
          <w:p w:rsidR="0077119B" w:rsidRPr="003E69DA" w:rsidRDefault="00A55912">
            <w:pPr>
              <w:keepNext/>
              <w:keepLines/>
              <w:spacing w:after="0" w:line="240" w:lineRule="auto"/>
              <w:jc w:val="center"/>
              <w:rPr>
                <w:sz w:val="22"/>
              </w:rPr>
            </w:pPr>
            <w:r w:rsidRPr="003E69DA">
              <w:rPr>
                <w:b/>
                <w:sz w:val="22"/>
              </w:rPr>
              <w:t xml:space="preserve">Račun iz </w:t>
            </w:r>
            <w:proofErr w:type="spellStart"/>
            <w:r w:rsidRPr="003E69DA">
              <w:rPr>
                <w:b/>
                <w:sz w:val="22"/>
              </w:rPr>
              <w:t>rač</w:t>
            </w:r>
            <w:proofErr w:type="spellEnd"/>
            <w:r w:rsidRPr="003E69DA">
              <w:rPr>
                <w:b/>
                <w:sz w:val="22"/>
              </w:rPr>
              <w:t>. plana</w:t>
            </w:r>
          </w:p>
        </w:tc>
        <w:tc>
          <w:tcPr>
            <w:tcW w:w="3180" w:type="dxa"/>
            <w:shd w:val="clear" w:color="auto" w:fill="FFFF00"/>
            <w:tcMar>
              <w:top w:w="0" w:type="dxa"/>
              <w:bottom w:w="0" w:type="dxa"/>
            </w:tcMar>
            <w:vAlign w:val="center"/>
          </w:tcPr>
          <w:p w:rsidR="0077119B" w:rsidRPr="003E69DA" w:rsidRDefault="00A55912">
            <w:pPr>
              <w:keepNext/>
              <w:keepLines/>
              <w:spacing w:after="0" w:line="240" w:lineRule="auto"/>
              <w:jc w:val="center"/>
              <w:rPr>
                <w:sz w:val="22"/>
              </w:rPr>
            </w:pPr>
            <w:r w:rsidRPr="003E69DA">
              <w:rPr>
                <w:b/>
                <w:sz w:val="22"/>
              </w:rPr>
              <w:t>Opis stavke</w:t>
            </w:r>
          </w:p>
        </w:tc>
        <w:tc>
          <w:tcPr>
            <w:tcW w:w="700" w:type="dxa"/>
            <w:shd w:val="clear" w:color="auto" w:fill="FFFF00"/>
            <w:tcMar>
              <w:top w:w="0" w:type="dxa"/>
              <w:bottom w:w="0" w:type="dxa"/>
            </w:tcMar>
            <w:vAlign w:val="center"/>
          </w:tcPr>
          <w:p w:rsidR="0077119B" w:rsidRPr="003E69DA" w:rsidRDefault="00A55912">
            <w:pPr>
              <w:keepNext/>
              <w:keepLines/>
              <w:spacing w:after="0" w:line="240" w:lineRule="auto"/>
              <w:jc w:val="center"/>
              <w:rPr>
                <w:sz w:val="22"/>
              </w:rPr>
            </w:pPr>
            <w:r w:rsidRPr="003E69DA">
              <w:rPr>
                <w:b/>
                <w:sz w:val="22"/>
              </w:rPr>
              <w:t>Šifra</w:t>
            </w:r>
          </w:p>
        </w:tc>
        <w:tc>
          <w:tcPr>
            <w:tcW w:w="1860" w:type="dxa"/>
            <w:shd w:val="clear" w:color="auto" w:fill="FFFF00"/>
            <w:tcMar>
              <w:top w:w="0" w:type="dxa"/>
              <w:bottom w:w="0" w:type="dxa"/>
            </w:tcMar>
            <w:vAlign w:val="center"/>
          </w:tcPr>
          <w:p w:rsidR="0077119B" w:rsidRPr="003E69DA" w:rsidRDefault="00A55912">
            <w:pPr>
              <w:keepNext/>
              <w:keepLines/>
              <w:spacing w:after="0" w:line="240" w:lineRule="auto"/>
              <w:jc w:val="center"/>
              <w:rPr>
                <w:sz w:val="22"/>
              </w:rPr>
            </w:pPr>
            <w:r w:rsidRPr="003E69DA">
              <w:rPr>
                <w:b/>
                <w:sz w:val="22"/>
              </w:rPr>
              <w:t>Iznos</w:t>
            </w:r>
          </w:p>
        </w:tc>
        <w:tc>
          <w:tcPr>
            <w:tcW w:w="700" w:type="dxa"/>
            <w:shd w:val="clear" w:color="auto" w:fill="FFFF00"/>
            <w:tcMar>
              <w:top w:w="0" w:type="dxa"/>
              <w:bottom w:w="0" w:type="dxa"/>
            </w:tcMar>
            <w:vAlign w:val="center"/>
          </w:tcPr>
          <w:p w:rsidR="0077119B" w:rsidRPr="003E69DA" w:rsidRDefault="00A55912">
            <w:pPr>
              <w:keepNext/>
              <w:keepLines/>
              <w:spacing w:after="0" w:line="240" w:lineRule="auto"/>
              <w:jc w:val="center"/>
              <w:rPr>
                <w:sz w:val="22"/>
              </w:rPr>
            </w:pPr>
            <w:r w:rsidRPr="003E69DA">
              <w:rPr>
                <w:b/>
                <w:sz w:val="22"/>
              </w:rPr>
              <w:t>Indeks (%)</w:t>
            </w:r>
          </w:p>
        </w:tc>
      </w:tr>
      <w:tr w:rsidR="0077119B" w:rsidRPr="003E69DA">
        <w:trPr>
          <w:cantSplit/>
          <w:trHeight w:val="560"/>
        </w:trPr>
        <w:tc>
          <w:tcPr>
            <w:tcW w:w="700" w:type="dxa"/>
            <w:tcMar>
              <w:top w:w="0" w:type="dxa"/>
              <w:bottom w:w="0" w:type="dxa"/>
            </w:tcMar>
            <w:vAlign w:val="center"/>
          </w:tcPr>
          <w:p w:rsidR="0077119B" w:rsidRPr="003E69DA" w:rsidRDefault="0077119B">
            <w:pPr>
              <w:keepNext/>
              <w:keepLines/>
              <w:spacing w:after="0" w:line="240" w:lineRule="auto"/>
              <w:rPr>
                <w:sz w:val="22"/>
              </w:rPr>
            </w:pPr>
          </w:p>
        </w:tc>
        <w:tc>
          <w:tcPr>
            <w:tcW w:w="3180" w:type="dxa"/>
            <w:tcMar>
              <w:top w:w="0" w:type="dxa"/>
              <w:bottom w:w="0" w:type="dxa"/>
            </w:tcMar>
            <w:vAlign w:val="center"/>
          </w:tcPr>
          <w:p w:rsidR="0077119B" w:rsidRPr="003E69DA" w:rsidRDefault="00A55912">
            <w:pPr>
              <w:keepNext/>
              <w:keepLines/>
              <w:spacing w:after="0" w:line="240" w:lineRule="auto"/>
              <w:rPr>
                <w:sz w:val="22"/>
              </w:rPr>
            </w:pPr>
            <w:r w:rsidRPr="003E69DA">
              <w:rPr>
                <w:sz w:val="22"/>
              </w:rPr>
              <w:t>Stanje obveza na kraju izvještajnog razdoblja (šifre V001+V002-V004) i (šifre V007+V009)</w:t>
            </w:r>
          </w:p>
        </w:tc>
        <w:tc>
          <w:tcPr>
            <w:tcW w:w="700" w:type="dxa"/>
            <w:tcMar>
              <w:top w:w="0" w:type="dxa"/>
              <w:bottom w:w="0" w:type="dxa"/>
            </w:tcMar>
            <w:vAlign w:val="center"/>
          </w:tcPr>
          <w:p w:rsidR="0077119B" w:rsidRPr="003E69DA" w:rsidRDefault="00A55912">
            <w:pPr>
              <w:keepNext/>
              <w:keepLines/>
              <w:spacing w:after="0" w:line="240" w:lineRule="auto"/>
              <w:rPr>
                <w:sz w:val="22"/>
              </w:rPr>
            </w:pPr>
            <w:r w:rsidRPr="003E69DA">
              <w:rPr>
                <w:sz w:val="22"/>
              </w:rPr>
              <w:t>V006</w:t>
            </w:r>
          </w:p>
        </w:tc>
        <w:tc>
          <w:tcPr>
            <w:tcW w:w="1860" w:type="dxa"/>
            <w:tcMar>
              <w:top w:w="0" w:type="dxa"/>
              <w:bottom w:w="0" w:type="dxa"/>
            </w:tcMar>
            <w:vAlign w:val="center"/>
          </w:tcPr>
          <w:p w:rsidR="0077119B" w:rsidRPr="003E69DA" w:rsidRDefault="00A55912">
            <w:pPr>
              <w:keepNext/>
              <w:keepLines/>
              <w:spacing w:after="0" w:line="240" w:lineRule="auto"/>
              <w:jc w:val="right"/>
              <w:rPr>
                <w:sz w:val="22"/>
              </w:rPr>
            </w:pPr>
            <w:r w:rsidRPr="003E69DA">
              <w:rPr>
                <w:sz w:val="22"/>
              </w:rPr>
              <w:t>1.</w:t>
            </w:r>
            <w:r w:rsidR="003E69DA">
              <w:rPr>
                <w:sz w:val="22"/>
              </w:rPr>
              <w:t>722.880,49</w:t>
            </w:r>
          </w:p>
        </w:tc>
        <w:tc>
          <w:tcPr>
            <w:tcW w:w="700" w:type="dxa"/>
            <w:tcMar>
              <w:top w:w="0" w:type="dxa"/>
              <w:bottom w:w="0" w:type="dxa"/>
            </w:tcMar>
            <w:vAlign w:val="center"/>
          </w:tcPr>
          <w:p w:rsidR="0077119B" w:rsidRPr="003E69DA" w:rsidRDefault="00A55912">
            <w:pPr>
              <w:keepNext/>
              <w:keepLines/>
              <w:spacing w:after="0" w:line="240" w:lineRule="auto"/>
              <w:jc w:val="right"/>
              <w:rPr>
                <w:sz w:val="22"/>
              </w:rPr>
            </w:pPr>
            <w:r w:rsidRPr="003E69DA">
              <w:rPr>
                <w:sz w:val="22"/>
              </w:rPr>
              <w:t>-</w:t>
            </w:r>
          </w:p>
        </w:tc>
      </w:tr>
    </w:tbl>
    <w:p w:rsidR="0077119B" w:rsidRPr="00A278AA" w:rsidRDefault="0077119B">
      <w:pPr>
        <w:spacing w:after="0"/>
        <w:rPr>
          <w:color w:val="FF0000"/>
          <w:sz w:val="22"/>
        </w:rPr>
      </w:pPr>
    </w:p>
    <w:p w:rsidR="00B10DB6" w:rsidRDefault="00A55912">
      <w:pPr>
        <w:spacing w:line="240" w:lineRule="auto"/>
        <w:jc w:val="both"/>
        <w:rPr>
          <w:sz w:val="22"/>
        </w:rPr>
      </w:pPr>
      <w:r w:rsidRPr="003E69DA">
        <w:rPr>
          <w:sz w:val="22"/>
        </w:rPr>
        <w:t xml:space="preserve">Stanje obveza 1. siječnja 2025. godine Sveučilišta Sjever iznosi 1.147.308,14 EUR i istovjetno je stanju obveza na dan 31.12.2024. godine, a ukupne obveze na kraju izvještajnog razdoblja (na dan </w:t>
      </w:r>
      <w:r w:rsidR="003E69DA">
        <w:rPr>
          <w:sz w:val="22"/>
        </w:rPr>
        <w:t>31</w:t>
      </w:r>
      <w:r w:rsidRPr="003E69DA">
        <w:rPr>
          <w:sz w:val="22"/>
        </w:rPr>
        <w:t xml:space="preserve">. </w:t>
      </w:r>
      <w:r w:rsidR="003E69DA">
        <w:rPr>
          <w:sz w:val="22"/>
        </w:rPr>
        <w:t>prosinca</w:t>
      </w:r>
      <w:r w:rsidRPr="003E69DA">
        <w:rPr>
          <w:sz w:val="22"/>
        </w:rPr>
        <w:t xml:space="preserve"> 2025.) iznose 1.</w:t>
      </w:r>
      <w:r w:rsidR="003E69DA">
        <w:rPr>
          <w:sz w:val="22"/>
        </w:rPr>
        <w:t>722.880,49</w:t>
      </w:r>
      <w:r w:rsidRPr="003E69DA">
        <w:rPr>
          <w:sz w:val="22"/>
        </w:rPr>
        <w:t xml:space="preserve"> EUR.</w:t>
      </w:r>
      <w:r w:rsidR="003E69DA">
        <w:rPr>
          <w:sz w:val="22"/>
        </w:rPr>
        <w:t xml:space="preserve"> </w:t>
      </w:r>
      <w:r w:rsidR="00C82028">
        <w:rPr>
          <w:sz w:val="22"/>
        </w:rPr>
        <w:t>Stanje ukupnih obveza prema bilanci na dan 31.12.2025. iznosi 1.724.488,25 EUR, ali u obrascu Obveze ukupne obveze na godišnjoj razini umanjuju se za stanje obveza konta 29 – Odgođeno plaćanje rashoda i prihodi budućih razdoblja (1.607,76 EUR)</w:t>
      </w:r>
      <w:r w:rsidR="000D5E8D">
        <w:rPr>
          <w:sz w:val="22"/>
        </w:rPr>
        <w:t xml:space="preserve"> – detaljno pojašnjenje stavaka konta 29 </w:t>
      </w:r>
      <w:r w:rsidR="00244D67">
        <w:rPr>
          <w:sz w:val="22"/>
        </w:rPr>
        <w:t>u objašnjenjima obrasca Bilance.</w:t>
      </w:r>
    </w:p>
    <w:p w:rsidR="00B10DB6" w:rsidRDefault="00B10DB6">
      <w:pPr>
        <w:spacing w:line="240" w:lineRule="auto"/>
        <w:jc w:val="both"/>
        <w:rPr>
          <w:sz w:val="22"/>
        </w:rPr>
      </w:pPr>
      <w:r w:rsidRPr="00B10DB6">
        <w:rPr>
          <w:b/>
          <w:color w:val="FF0000"/>
          <w:sz w:val="22"/>
        </w:rPr>
        <w:t>DODATI I U DOSPJELE I NEDOSPJELE</w:t>
      </w:r>
      <w:r>
        <w:rPr>
          <w:sz w:val="22"/>
        </w:rPr>
        <w:t xml:space="preserve"> - </w:t>
      </w:r>
      <w:r w:rsidR="00A55912" w:rsidRPr="003E69DA">
        <w:rPr>
          <w:sz w:val="22"/>
        </w:rPr>
        <w:t xml:space="preserve">Promatrajući dospjelost obveza, nedospjele obveze </w:t>
      </w:r>
      <w:r w:rsidR="00A55912" w:rsidRPr="001016B0">
        <w:rPr>
          <w:sz w:val="22"/>
        </w:rPr>
        <w:t>iznose 1.</w:t>
      </w:r>
      <w:r w:rsidR="004255CE" w:rsidRPr="001016B0">
        <w:rPr>
          <w:sz w:val="22"/>
        </w:rPr>
        <w:t>531.244,75</w:t>
      </w:r>
      <w:r w:rsidR="00A55912" w:rsidRPr="001016B0">
        <w:rPr>
          <w:sz w:val="22"/>
        </w:rPr>
        <w:t xml:space="preserve"> EUR, a stanje dospjelih obveza na dan 3</w:t>
      </w:r>
      <w:r w:rsidR="004255CE" w:rsidRPr="001016B0">
        <w:rPr>
          <w:sz w:val="22"/>
        </w:rPr>
        <w:t>1</w:t>
      </w:r>
      <w:r w:rsidR="00A55912" w:rsidRPr="001016B0">
        <w:rPr>
          <w:sz w:val="22"/>
        </w:rPr>
        <w:t>.</w:t>
      </w:r>
      <w:r w:rsidR="004255CE" w:rsidRPr="001016B0">
        <w:rPr>
          <w:sz w:val="22"/>
        </w:rPr>
        <w:t>12</w:t>
      </w:r>
      <w:r w:rsidR="00A55912" w:rsidRPr="001016B0">
        <w:rPr>
          <w:sz w:val="22"/>
        </w:rPr>
        <w:t>.2025. iznosi 1</w:t>
      </w:r>
      <w:r w:rsidR="004255CE" w:rsidRPr="001016B0">
        <w:rPr>
          <w:sz w:val="22"/>
        </w:rPr>
        <w:t>91.635,74</w:t>
      </w:r>
      <w:r w:rsidR="00A55912" w:rsidRPr="001016B0">
        <w:rPr>
          <w:sz w:val="22"/>
        </w:rPr>
        <w:t xml:space="preserve"> EUR. </w:t>
      </w:r>
      <w:r w:rsidRPr="003E69DA">
        <w:rPr>
          <w:sz w:val="22"/>
        </w:rPr>
        <w:t xml:space="preserve">Promatrajući ročnost dospjelih obveza, obveze s prekoračenjem 1 do 60 dana iznose </w:t>
      </w:r>
      <w:r>
        <w:rPr>
          <w:sz w:val="22"/>
        </w:rPr>
        <w:t>63.337,37</w:t>
      </w:r>
      <w:r w:rsidRPr="003E69DA">
        <w:rPr>
          <w:sz w:val="22"/>
        </w:rPr>
        <w:t xml:space="preserve"> EUR, prekoračenjem 61 do 180 dana iznose </w:t>
      </w:r>
      <w:r>
        <w:rPr>
          <w:sz w:val="22"/>
        </w:rPr>
        <w:t>4.480,77</w:t>
      </w:r>
      <w:r w:rsidRPr="003E69DA">
        <w:rPr>
          <w:sz w:val="22"/>
        </w:rPr>
        <w:t xml:space="preserve"> EUR, prekoračenjem 181 do 360 dana iznose </w:t>
      </w:r>
      <w:r>
        <w:rPr>
          <w:sz w:val="22"/>
        </w:rPr>
        <w:t>45.028,41</w:t>
      </w:r>
      <w:r w:rsidRPr="003E69DA">
        <w:rPr>
          <w:sz w:val="22"/>
        </w:rPr>
        <w:t xml:space="preserve"> EUR, a obveze s prekoračenjem preko 360 dana iznosa </w:t>
      </w:r>
      <w:r>
        <w:rPr>
          <w:sz w:val="22"/>
        </w:rPr>
        <w:t>1.187,45</w:t>
      </w:r>
      <w:r w:rsidRPr="003E69DA">
        <w:rPr>
          <w:sz w:val="22"/>
        </w:rPr>
        <w:t xml:space="preserve"> EUR. Posljednji iznos</w:t>
      </w:r>
      <w:r>
        <w:rPr>
          <w:sz w:val="22"/>
        </w:rPr>
        <w:t>i prekoračenja (preko 181 dan pa nadalje)</w:t>
      </w:r>
      <w:r w:rsidRPr="003E69DA">
        <w:rPr>
          <w:sz w:val="22"/>
        </w:rPr>
        <w:t xml:space="preserve"> odnosi se na obvezu prema dobavljaču za koju nije dobiven točan i detaljan zapisnik o izvršenoj usluzi te je u tijeku daljnja usklade sa dobavljačem i postupak osporavanja fakture</w:t>
      </w:r>
      <w:r>
        <w:rPr>
          <w:sz w:val="22"/>
        </w:rPr>
        <w:t>, a u drugom slučaju zatraženo je otklanjanje nedostataka sukladno ugovoru.</w:t>
      </w:r>
    </w:p>
    <w:p w:rsidR="0077119B" w:rsidRPr="00B10DB6" w:rsidRDefault="00A55912" w:rsidP="00B10DB6">
      <w:pPr>
        <w:spacing w:line="240" w:lineRule="auto"/>
        <w:jc w:val="both"/>
        <w:rPr>
          <w:sz w:val="22"/>
        </w:rPr>
      </w:pPr>
      <w:r w:rsidRPr="001016B0">
        <w:rPr>
          <w:sz w:val="22"/>
        </w:rPr>
        <w:t xml:space="preserve">Nedospjele obveze odnose se na obveze za zaposlene (plaće i materijalna prava za mjesec </w:t>
      </w:r>
      <w:r w:rsidR="004255CE" w:rsidRPr="001016B0">
        <w:rPr>
          <w:sz w:val="22"/>
        </w:rPr>
        <w:t>prosinac</w:t>
      </w:r>
      <w:r w:rsidRPr="001016B0">
        <w:rPr>
          <w:sz w:val="22"/>
        </w:rPr>
        <w:t xml:space="preserve"> 2025. </w:t>
      </w:r>
      <w:r w:rsidRPr="003E69DA">
        <w:rPr>
          <w:sz w:val="22"/>
        </w:rPr>
        <w:t xml:space="preserve">godine) te neplaćene fakture rashoda za usluge. Promatrajući ročnost dospjelih obveza, obveze s prekoračenjem 1 do 60 dana iznose </w:t>
      </w:r>
      <w:r w:rsidR="00054B60">
        <w:rPr>
          <w:sz w:val="22"/>
        </w:rPr>
        <w:t>63.337,37</w:t>
      </w:r>
      <w:r w:rsidRPr="003E69DA">
        <w:rPr>
          <w:sz w:val="22"/>
        </w:rPr>
        <w:t xml:space="preserve"> EUR, prekoračenjem 61 do 180 dana iznose </w:t>
      </w:r>
      <w:r w:rsidR="00054B60">
        <w:rPr>
          <w:sz w:val="22"/>
        </w:rPr>
        <w:t>4.480,77</w:t>
      </w:r>
      <w:r w:rsidRPr="003E69DA">
        <w:rPr>
          <w:sz w:val="22"/>
        </w:rPr>
        <w:t xml:space="preserve"> EUR, prekoračenjem 181 do 360 dana iznose </w:t>
      </w:r>
      <w:r w:rsidR="00054B60">
        <w:rPr>
          <w:sz w:val="22"/>
        </w:rPr>
        <w:t>45.028,41</w:t>
      </w:r>
      <w:r w:rsidRPr="003E69DA">
        <w:rPr>
          <w:sz w:val="22"/>
        </w:rPr>
        <w:t xml:space="preserve"> EUR, a obveze s prekoračenjem preko 360 dana iznosa </w:t>
      </w:r>
      <w:r w:rsidR="00054B60">
        <w:rPr>
          <w:sz w:val="22"/>
        </w:rPr>
        <w:t>1.187,45</w:t>
      </w:r>
      <w:r w:rsidRPr="003E69DA">
        <w:rPr>
          <w:sz w:val="22"/>
        </w:rPr>
        <w:t xml:space="preserve"> EUR. Posljednji iznos</w:t>
      </w:r>
      <w:r w:rsidR="00054B60">
        <w:rPr>
          <w:sz w:val="22"/>
        </w:rPr>
        <w:t>i prekoračenja (preko 181 dan pa nadalje)</w:t>
      </w:r>
      <w:r w:rsidRPr="003E69DA">
        <w:rPr>
          <w:sz w:val="22"/>
        </w:rPr>
        <w:t xml:space="preserve"> odnosi se na obvezu </w:t>
      </w:r>
      <w:r w:rsidRPr="003E69DA">
        <w:rPr>
          <w:sz w:val="22"/>
        </w:rPr>
        <w:lastRenderedPageBreak/>
        <w:t>prema dobavljaču za koju nije dobiven točan i detaljan zapisnik o izvršenoj usluzi te je u tijeku daljnja usklade sa dobavljačem i postupak osporavanja fakture</w:t>
      </w:r>
      <w:r w:rsidR="00054B60">
        <w:rPr>
          <w:sz w:val="22"/>
        </w:rPr>
        <w:t>, a u drugom slučaju zatraženo je otklanjanje nedostataka sukladno ugovoru.</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64F0E" w:rsidRPr="00664F0E" w:rsidTr="00664F0E">
        <w:trPr>
          <w:cantSplit/>
        </w:trPr>
        <w:tc>
          <w:tcPr>
            <w:tcW w:w="700" w:type="dxa"/>
            <w:shd w:val="clear" w:color="auto" w:fill="FFFF00"/>
            <w:tcMar>
              <w:top w:w="0" w:type="dxa"/>
              <w:bottom w:w="0" w:type="dxa"/>
            </w:tcMar>
            <w:vAlign w:val="center"/>
          </w:tcPr>
          <w:p w:rsidR="0077119B" w:rsidRPr="00664F0E" w:rsidRDefault="00A55912">
            <w:pPr>
              <w:keepNext/>
              <w:keepLines/>
              <w:spacing w:after="0" w:line="240" w:lineRule="auto"/>
              <w:jc w:val="center"/>
              <w:rPr>
                <w:sz w:val="22"/>
              </w:rPr>
            </w:pPr>
            <w:r w:rsidRPr="00664F0E">
              <w:rPr>
                <w:b/>
                <w:sz w:val="22"/>
              </w:rPr>
              <w:t xml:space="preserve">Račun iz </w:t>
            </w:r>
            <w:proofErr w:type="spellStart"/>
            <w:r w:rsidRPr="00664F0E">
              <w:rPr>
                <w:b/>
                <w:sz w:val="22"/>
              </w:rPr>
              <w:t>rač</w:t>
            </w:r>
            <w:proofErr w:type="spellEnd"/>
            <w:r w:rsidRPr="00664F0E">
              <w:rPr>
                <w:b/>
                <w:sz w:val="22"/>
              </w:rPr>
              <w:t>. plana</w:t>
            </w:r>
          </w:p>
        </w:tc>
        <w:tc>
          <w:tcPr>
            <w:tcW w:w="3180" w:type="dxa"/>
            <w:shd w:val="clear" w:color="auto" w:fill="FFFF00"/>
            <w:tcMar>
              <w:top w:w="0" w:type="dxa"/>
              <w:bottom w:w="0" w:type="dxa"/>
            </w:tcMar>
            <w:vAlign w:val="center"/>
          </w:tcPr>
          <w:p w:rsidR="0077119B" w:rsidRPr="00664F0E" w:rsidRDefault="00A55912">
            <w:pPr>
              <w:keepNext/>
              <w:keepLines/>
              <w:spacing w:after="0" w:line="240" w:lineRule="auto"/>
              <w:jc w:val="center"/>
              <w:rPr>
                <w:sz w:val="22"/>
              </w:rPr>
            </w:pPr>
            <w:r w:rsidRPr="00664F0E">
              <w:rPr>
                <w:b/>
                <w:sz w:val="22"/>
              </w:rPr>
              <w:t>Opis stavke</w:t>
            </w:r>
          </w:p>
        </w:tc>
        <w:tc>
          <w:tcPr>
            <w:tcW w:w="700" w:type="dxa"/>
            <w:shd w:val="clear" w:color="auto" w:fill="FFFF00"/>
            <w:tcMar>
              <w:top w:w="0" w:type="dxa"/>
              <w:bottom w:w="0" w:type="dxa"/>
            </w:tcMar>
            <w:vAlign w:val="center"/>
          </w:tcPr>
          <w:p w:rsidR="0077119B" w:rsidRPr="00664F0E" w:rsidRDefault="00A55912">
            <w:pPr>
              <w:keepNext/>
              <w:keepLines/>
              <w:spacing w:after="0" w:line="240" w:lineRule="auto"/>
              <w:jc w:val="center"/>
              <w:rPr>
                <w:sz w:val="22"/>
              </w:rPr>
            </w:pPr>
            <w:r w:rsidRPr="00664F0E">
              <w:rPr>
                <w:b/>
                <w:sz w:val="22"/>
              </w:rPr>
              <w:t>Šifra</w:t>
            </w:r>
          </w:p>
        </w:tc>
        <w:tc>
          <w:tcPr>
            <w:tcW w:w="1860" w:type="dxa"/>
            <w:shd w:val="clear" w:color="auto" w:fill="FFFF00"/>
            <w:tcMar>
              <w:top w:w="0" w:type="dxa"/>
              <w:bottom w:w="0" w:type="dxa"/>
            </w:tcMar>
            <w:vAlign w:val="center"/>
          </w:tcPr>
          <w:p w:rsidR="0077119B" w:rsidRPr="00664F0E" w:rsidRDefault="00A55912">
            <w:pPr>
              <w:keepNext/>
              <w:keepLines/>
              <w:spacing w:after="0" w:line="240" w:lineRule="auto"/>
              <w:jc w:val="center"/>
              <w:rPr>
                <w:sz w:val="22"/>
              </w:rPr>
            </w:pPr>
            <w:r w:rsidRPr="00664F0E">
              <w:rPr>
                <w:b/>
                <w:sz w:val="22"/>
              </w:rPr>
              <w:t>Iznos</w:t>
            </w:r>
          </w:p>
        </w:tc>
        <w:tc>
          <w:tcPr>
            <w:tcW w:w="700" w:type="dxa"/>
            <w:shd w:val="clear" w:color="auto" w:fill="FFFF00"/>
            <w:tcMar>
              <w:top w:w="0" w:type="dxa"/>
              <w:bottom w:w="0" w:type="dxa"/>
            </w:tcMar>
            <w:vAlign w:val="center"/>
          </w:tcPr>
          <w:p w:rsidR="0077119B" w:rsidRPr="00664F0E" w:rsidRDefault="00A55912">
            <w:pPr>
              <w:keepNext/>
              <w:keepLines/>
              <w:spacing w:after="0" w:line="240" w:lineRule="auto"/>
              <w:jc w:val="center"/>
              <w:rPr>
                <w:sz w:val="22"/>
              </w:rPr>
            </w:pPr>
            <w:r w:rsidRPr="00664F0E">
              <w:rPr>
                <w:b/>
                <w:sz w:val="22"/>
              </w:rPr>
              <w:t>Indeks (%)</w:t>
            </w:r>
          </w:p>
        </w:tc>
      </w:tr>
      <w:tr w:rsidR="0077119B" w:rsidRPr="00664F0E">
        <w:trPr>
          <w:cantSplit/>
          <w:trHeight w:val="560"/>
        </w:trPr>
        <w:tc>
          <w:tcPr>
            <w:tcW w:w="700" w:type="dxa"/>
            <w:tcMar>
              <w:top w:w="0" w:type="dxa"/>
              <w:bottom w:w="0" w:type="dxa"/>
            </w:tcMar>
            <w:vAlign w:val="center"/>
          </w:tcPr>
          <w:p w:rsidR="0077119B" w:rsidRPr="00664F0E" w:rsidRDefault="00A55912">
            <w:pPr>
              <w:keepNext/>
              <w:keepLines/>
              <w:spacing w:after="0" w:line="240" w:lineRule="auto"/>
              <w:rPr>
                <w:sz w:val="22"/>
              </w:rPr>
            </w:pPr>
            <w:r w:rsidRPr="00664F0E">
              <w:rPr>
                <w:sz w:val="22"/>
              </w:rPr>
              <w:t>27</w:t>
            </w:r>
          </w:p>
        </w:tc>
        <w:tc>
          <w:tcPr>
            <w:tcW w:w="3180" w:type="dxa"/>
            <w:tcMar>
              <w:top w:w="0" w:type="dxa"/>
              <w:bottom w:w="0" w:type="dxa"/>
            </w:tcMar>
            <w:vAlign w:val="center"/>
          </w:tcPr>
          <w:p w:rsidR="0077119B" w:rsidRPr="00664F0E" w:rsidRDefault="00A55912">
            <w:pPr>
              <w:keepNext/>
              <w:keepLines/>
              <w:spacing w:after="0" w:line="240" w:lineRule="auto"/>
              <w:rPr>
                <w:sz w:val="22"/>
              </w:rPr>
            </w:pPr>
            <w:r w:rsidRPr="00664F0E">
              <w:rPr>
                <w:sz w:val="22"/>
              </w:rPr>
              <w:t xml:space="preserve">Obveze za predujmove, depozite, </w:t>
            </w:r>
            <w:proofErr w:type="spellStart"/>
            <w:r w:rsidRPr="00664F0E">
              <w:rPr>
                <w:sz w:val="22"/>
              </w:rPr>
              <w:t>jamčevne</w:t>
            </w:r>
            <w:proofErr w:type="spellEnd"/>
            <w:r w:rsidRPr="00664F0E">
              <w:rPr>
                <w:sz w:val="22"/>
              </w:rPr>
              <w:t xml:space="preserve"> </w:t>
            </w:r>
            <w:proofErr w:type="spellStart"/>
            <w:r w:rsidRPr="00664F0E">
              <w:rPr>
                <w:sz w:val="22"/>
              </w:rPr>
              <w:t>pologe</w:t>
            </w:r>
            <w:proofErr w:type="spellEnd"/>
            <w:r w:rsidRPr="00664F0E">
              <w:rPr>
                <w:sz w:val="22"/>
              </w:rPr>
              <w:t xml:space="preserve"> i tuđe prihode</w:t>
            </w:r>
          </w:p>
        </w:tc>
        <w:tc>
          <w:tcPr>
            <w:tcW w:w="700" w:type="dxa"/>
            <w:tcMar>
              <w:top w:w="0" w:type="dxa"/>
              <w:bottom w:w="0" w:type="dxa"/>
            </w:tcMar>
            <w:vAlign w:val="center"/>
          </w:tcPr>
          <w:p w:rsidR="0077119B" w:rsidRPr="00664F0E" w:rsidRDefault="00A55912">
            <w:pPr>
              <w:keepNext/>
              <w:keepLines/>
              <w:spacing w:after="0" w:line="240" w:lineRule="auto"/>
              <w:rPr>
                <w:sz w:val="22"/>
              </w:rPr>
            </w:pPr>
            <w:r w:rsidRPr="00664F0E">
              <w:rPr>
                <w:sz w:val="22"/>
              </w:rPr>
              <w:t>ND27</w:t>
            </w:r>
          </w:p>
        </w:tc>
        <w:tc>
          <w:tcPr>
            <w:tcW w:w="1860" w:type="dxa"/>
            <w:tcMar>
              <w:top w:w="0" w:type="dxa"/>
              <w:bottom w:w="0" w:type="dxa"/>
            </w:tcMar>
            <w:vAlign w:val="center"/>
          </w:tcPr>
          <w:p w:rsidR="0077119B" w:rsidRPr="00664F0E" w:rsidRDefault="00664F0E">
            <w:pPr>
              <w:keepNext/>
              <w:keepLines/>
              <w:spacing w:after="0" w:line="240" w:lineRule="auto"/>
              <w:jc w:val="right"/>
              <w:rPr>
                <w:sz w:val="22"/>
              </w:rPr>
            </w:pPr>
            <w:r w:rsidRPr="00664F0E">
              <w:rPr>
                <w:sz w:val="22"/>
              </w:rPr>
              <w:t>355.094,90</w:t>
            </w:r>
          </w:p>
        </w:tc>
        <w:tc>
          <w:tcPr>
            <w:tcW w:w="700" w:type="dxa"/>
            <w:tcMar>
              <w:top w:w="0" w:type="dxa"/>
              <w:bottom w:w="0" w:type="dxa"/>
            </w:tcMar>
            <w:vAlign w:val="center"/>
          </w:tcPr>
          <w:p w:rsidR="0077119B" w:rsidRPr="00664F0E" w:rsidRDefault="00A55912">
            <w:pPr>
              <w:keepNext/>
              <w:keepLines/>
              <w:spacing w:after="0" w:line="240" w:lineRule="auto"/>
              <w:jc w:val="right"/>
              <w:rPr>
                <w:sz w:val="22"/>
              </w:rPr>
            </w:pPr>
            <w:r w:rsidRPr="00664F0E">
              <w:rPr>
                <w:sz w:val="22"/>
              </w:rPr>
              <w:t>-</w:t>
            </w:r>
          </w:p>
        </w:tc>
      </w:tr>
    </w:tbl>
    <w:p w:rsidR="0077119B" w:rsidRPr="00A278AA" w:rsidRDefault="0077119B">
      <w:pPr>
        <w:spacing w:after="0"/>
        <w:rPr>
          <w:color w:val="FF0000"/>
          <w:sz w:val="22"/>
        </w:rPr>
      </w:pPr>
    </w:p>
    <w:p w:rsidR="0077119B" w:rsidRPr="00664F0E" w:rsidRDefault="00A55912">
      <w:pPr>
        <w:spacing w:line="240" w:lineRule="auto"/>
        <w:jc w:val="both"/>
        <w:rPr>
          <w:sz w:val="22"/>
        </w:rPr>
      </w:pPr>
      <w:r w:rsidRPr="00664F0E">
        <w:rPr>
          <w:sz w:val="22"/>
        </w:rPr>
        <w:t>Ministarstvo financija je u svibnju 2025. izdalo novu Uputu za računovodstveno evidentiranje sredstava Europske unije kojom se detaljnije uređuje pravila i način računovodstvenih evidencija EU sredstava i primjene proračunskih klasifikacija kod korisnika projekta, programskih tijela nadležnih za ugovaranje i isplatu sredstava te Ministarstva financija.  Uputom se prihodi ostvarene iz EU sredstava mogu priznati tek po nastanku događaja, odnosno rashoda, a do tog trenutka moraju se evidentirati na kontima Obveze za EU predujmove. Sveučilište u izvještajnom razdoblju na Obvezama za EU predujmove evidentira 3</w:t>
      </w:r>
      <w:r w:rsidR="00664F0E" w:rsidRPr="00664F0E">
        <w:rPr>
          <w:sz w:val="22"/>
        </w:rPr>
        <w:t>55.094,90</w:t>
      </w:r>
      <w:r w:rsidRPr="00664F0E">
        <w:rPr>
          <w:sz w:val="22"/>
        </w:rPr>
        <w:t xml:space="preserve"> EUR primljenih sredstava.</w:t>
      </w:r>
    </w:p>
    <w:p w:rsidR="0077119B" w:rsidRPr="00A278AA" w:rsidRDefault="0077119B">
      <w:pPr>
        <w:rPr>
          <w:color w:val="FF0000"/>
          <w:sz w:val="22"/>
        </w:rPr>
      </w:pPr>
    </w:p>
    <w:p w:rsidR="00683C56" w:rsidRDefault="00683C56" w:rsidP="006356EE">
      <w:pPr>
        <w:spacing w:line="276" w:lineRule="auto"/>
        <w:jc w:val="both"/>
        <w:rPr>
          <w:rFonts w:cs="Times New Roman"/>
          <w:b/>
          <w:sz w:val="22"/>
          <w:highlight w:val="yellow"/>
        </w:rPr>
      </w:pPr>
      <w:r w:rsidRPr="00C82028">
        <w:rPr>
          <w:rFonts w:cs="Times New Roman"/>
          <w:b/>
          <w:sz w:val="22"/>
          <w:highlight w:val="yellow"/>
        </w:rPr>
        <w:t>BILANCA</w:t>
      </w:r>
    </w:p>
    <w:p w:rsidR="00061356" w:rsidRPr="00061356" w:rsidRDefault="00061356" w:rsidP="006356EE">
      <w:pPr>
        <w:spacing w:line="276" w:lineRule="auto"/>
        <w:jc w:val="both"/>
        <w:rPr>
          <w:rFonts w:cs="Times New Roman"/>
          <w:sz w:val="22"/>
        </w:rPr>
      </w:pPr>
      <w:r>
        <w:rPr>
          <w:rFonts w:cs="Times New Roman"/>
          <w:sz w:val="22"/>
        </w:rPr>
        <w:t>U bilanci Sveučilišta osigurana je bilančna ravnoteža između razreda 0 Imovina i 9 Vlastiti izvori, odnosno dugotrajna imovina pokrivena je odgovarajućim izvorima vlasništva.</w:t>
      </w:r>
    </w:p>
    <w:p w:rsidR="00061356" w:rsidRDefault="00BC6D68" w:rsidP="006356EE">
      <w:pPr>
        <w:spacing w:line="276" w:lineRule="auto"/>
        <w:jc w:val="both"/>
        <w:rPr>
          <w:rFonts w:cs="Times New Roman"/>
          <w:b/>
          <w:sz w:val="22"/>
          <w:highlight w:val="yellow"/>
        </w:rPr>
      </w:pPr>
      <w:r>
        <w:rPr>
          <w:rFonts w:cs="Times New Roman"/>
          <w:b/>
          <w:sz w:val="22"/>
          <w:highlight w:val="yellow"/>
        </w:rPr>
        <w:t>B001 – IMOVINA</w:t>
      </w:r>
    </w:p>
    <w:p w:rsidR="00413693" w:rsidRDefault="00BC6D68" w:rsidP="006356EE">
      <w:pPr>
        <w:spacing w:line="276" w:lineRule="auto"/>
        <w:jc w:val="both"/>
      </w:pPr>
      <w:r>
        <w:t>Vrijednost imovine na kraju obračunskog razdoblja smanjila se u odnosu na stanje 1.1.202</w:t>
      </w:r>
      <w:r w:rsidR="00413693">
        <w:t>5</w:t>
      </w:r>
      <w:r>
        <w:t>. godine</w:t>
      </w:r>
      <w:r w:rsidR="00413693">
        <w:t xml:space="preserve">, </w:t>
      </w:r>
      <w:r>
        <w:t>ispravk</w:t>
      </w:r>
      <w:r w:rsidR="00413693">
        <w:t>om</w:t>
      </w:r>
      <w:r>
        <w:t xml:space="preserve"> vrijednosti postojećih postrojenja i opreme smanjena je vrijednost nefinancijske imovine. </w:t>
      </w:r>
      <w:r w:rsidR="00413693">
        <w:t>Zabilježena ulaganja u 2025. godini pratila su troškove ulaganja prethodne godine, jedina specifičnost jest povećanje stanja sredstava na kontu 051 Građevinski objekti u pripremi za vrijednost plaćenih privremenih situacija za gradnju i uređenje studenskog doma u Koprivnici (izdaci za gradnju pokriveni su sredstvima financiranjem Ministarstva znanosti, obrazovanja i mladih temeljem ispostavljenih Zahtjeva). Glavnina troškova za navedeno ulaganje očekuje se u 2026. godini (u Financijskom planu za 2026. godinu rezervirano je preko 4 milijuna EUR sredstava), a u ranijoj 2024. godini pokriveni su troškovi priprem</w:t>
      </w:r>
      <w:r w:rsidR="00451F94">
        <w:t>e projektne dokumentacije i svih pripremnih radnji za gradnju.</w:t>
      </w:r>
    </w:p>
    <w:p w:rsidR="00BC6D68" w:rsidRDefault="00BC6D68" w:rsidP="006356EE">
      <w:pPr>
        <w:spacing w:line="276" w:lineRule="auto"/>
        <w:jc w:val="both"/>
      </w:pPr>
      <w:r>
        <w:t>Za dugotrajnu imovinu primjenjuju se stope ispravka vrijednosti iz Pravilnika o proračunskom računovodstvu i računskom planu (NN 124/2014, 115/2015, 87/2016, 3/2018, 126/19, 108/20, 158/23), te je obračun ispravka vrijednosti knjižen na teret izvora vlasništva, a u korist ispravka vrijednosti imovine.</w:t>
      </w:r>
    </w:p>
    <w:p w:rsidR="0071535B" w:rsidRDefault="0071535B" w:rsidP="006356EE">
      <w:pPr>
        <w:spacing w:line="276" w:lineRule="auto"/>
        <w:jc w:val="both"/>
      </w:pPr>
    </w:p>
    <w:p w:rsidR="00451F94" w:rsidRDefault="00451F94" w:rsidP="006356EE">
      <w:pPr>
        <w:spacing w:line="276" w:lineRule="auto"/>
        <w:jc w:val="both"/>
        <w:rPr>
          <w:rFonts w:cs="Times New Roman"/>
          <w:b/>
          <w:sz w:val="22"/>
          <w:highlight w:val="yellow"/>
        </w:rPr>
      </w:pPr>
      <w:r>
        <w:rPr>
          <w:rFonts w:cs="Times New Roman"/>
          <w:b/>
          <w:sz w:val="22"/>
          <w:highlight w:val="yellow"/>
        </w:rPr>
        <w:t>11 – NOVAC U BANCI I BLAGAJNI</w:t>
      </w:r>
    </w:p>
    <w:p w:rsidR="00451F94" w:rsidRDefault="00451F94" w:rsidP="00451F94">
      <w:pPr>
        <w:spacing w:after="0"/>
        <w:jc w:val="both"/>
        <w:rPr>
          <w:sz w:val="22"/>
        </w:rPr>
      </w:pPr>
      <w:r w:rsidRPr="00703342">
        <w:rPr>
          <w:sz w:val="22"/>
        </w:rPr>
        <w:t xml:space="preserve">Sveučilište Sjever na dan 31.12.2025. godine raspolaže sa 3.540.308,03 EUR na </w:t>
      </w:r>
      <w:proofErr w:type="spellStart"/>
      <w:r w:rsidRPr="00703342">
        <w:rPr>
          <w:sz w:val="22"/>
        </w:rPr>
        <w:t>multivalutnom</w:t>
      </w:r>
      <w:proofErr w:type="spellEnd"/>
      <w:r w:rsidRPr="00703342">
        <w:rPr>
          <w:sz w:val="22"/>
        </w:rPr>
        <w:t xml:space="preserve"> žiroračunu otvorenom u Hrvatskoj poštanskoj banci d.d. (IBAN 4923900011101386168). Na dan 01.01.2025. godine stanje žiroračuna Sveučilišta iznosilo je 3.920.677,50 EUR. Tokom proračunske 2025. godine na žiroračunu je zabilježeno priljeva u vrijednosti 6.783.273,26 EUR i odljeva sredstava 7.163.642,73 EUR. Posljednji evidentirani broj izvoda sa žiroračuna Sveučilišta zabilježen na dan 31.12.2025. je broj 290.</w:t>
      </w:r>
      <w:r>
        <w:rPr>
          <w:sz w:val="22"/>
        </w:rPr>
        <w:t xml:space="preserve"> Sredstva na računu odnose se na deponirana sredstva uplaćena po brojnim EU </w:t>
      </w:r>
      <w:r>
        <w:rPr>
          <w:sz w:val="22"/>
        </w:rPr>
        <w:lastRenderedPageBreak/>
        <w:t>projektima</w:t>
      </w:r>
      <w:r w:rsidR="00062CA2">
        <w:rPr>
          <w:sz w:val="22"/>
        </w:rPr>
        <w:t xml:space="preserve">, a sredstva su </w:t>
      </w:r>
      <w:r>
        <w:rPr>
          <w:sz w:val="22"/>
        </w:rPr>
        <w:t>knjižena na potraživanja za EU projekte</w:t>
      </w:r>
      <w:r w:rsidR="009B6742">
        <w:rPr>
          <w:sz w:val="22"/>
        </w:rPr>
        <w:t xml:space="preserve"> (sukladno novom Pravilniku), stanje na računu sadrži sredstva prenesenog viška iz prethodnih godina te uplatu 1. rate NPOO projekata zaprimljene u studenom 2025.</w:t>
      </w:r>
    </w:p>
    <w:p w:rsidR="000804F1" w:rsidRDefault="000804F1" w:rsidP="00451F94">
      <w:pPr>
        <w:spacing w:after="0"/>
        <w:jc w:val="both"/>
        <w:rPr>
          <w:sz w:val="22"/>
        </w:rPr>
      </w:pPr>
    </w:p>
    <w:p w:rsidR="00851A50" w:rsidRDefault="00851A50" w:rsidP="00451F94">
      <w:pPr>
        <w:spacing w:after="0"/>
        <w:jc w:val="both"/>
        <w:rPr>
          <w:sz w:val="22"/>
        </w:rPr>
      </w:pPr>
    </w:p>
    <w:p w:rsidR="000804F1" w:rsidRPr="000804F1" w:rsidRDefault="000804F1" w:rsidP="00451F94">
      <w:pPr>
        <w:spacing w:after="0"/>
        <w:jc w:val="both"/>
        <w:rPr>
          <w:b/>
          <w:sz w:val="22"/>
        </w:rPr>
      </w:pPr>
      <w:r w:rsidRPr="000804F1">
        <w:rPr>
          <w:b/>
          <w:sz w:val="22"/>
          <w:highlight w:val="yellow"/>
        </w:rPr>
        <w:t>Konto 12912 – potraživanja za predujmove</w:t>
      </w:r>
    </w:p>
    <w:p w:rsidR="000804F1" w:rsidRDefault="008B33A1" w:rsidP="00451F94">
      <w:pPr>
        <w:spacing w:after="0"/>
        <w:jc w:val="both"/>
        <w:rPr>
          <w:sz w:val="22"/>
        </w:rPr>
      </w:pPr>
      <w:r>
        <w:rPr>
          <w:sz w:val="22"/>
        </w:rPr>
        <w:t>U skupini 129 Ostala potraživanja najveću stavku čini konto 12912 Potraživanja za predujmove sa stanjem 29.862,48 EUR. U navedenim potraživanjima nalazi se nekoliko predujmova za nabavu roba koji su uplaćeni u prosincu 2025. godine, a računi su fakturirani u siječnju 2026. godine. Veliku stavku čini predujam uplaćen poduzeću HEP-ODS d.o.o. u iznosu 21.277,63 EUR koji se odnosi na priključenje građevine studentskog doma u Koprivnici</w:t>
      </w:r>
      <w:r w:rsidR="00092ED7">
        <w:rPr>
          <w:sz w:val="22"/>
        </w:rPr>
        <w:t xml:space="preserve"> na elektroenergetsku mrežu. Račun za uslugu priključenja biti će ispostavljen nakon završetka radova, nakon toga slijedi i zatvaranje evidentiranog predujma.</w:t>
      </w:r>
    </w:p>
    <w:p w:rsidR="004409A2" w:rsidRDefault="004409A2" w:rsidP="00451F94">
      <w:pPr>
        <w:spacing w:after="0"/>
        <w:jc w:val="both"/>
        <w:rPr>
          <w:sz w:val="22"/>
        </w:rPr>
      </w:pPr>
    </w:p>
    <w:p w:rsidR="004409A2" w:rsidRDefault="004409A2" w:rsidP="00451F94">
      <w:pPr>
        <w:spacing w:after="0"/>
        <w:jc w:val="both"/>
        <w:rPr>
          <w:sz w:val="22"/>
        </w:rPr>
      </w:pPr>
    </w:p>
    <w:p w:rsidR="004409A2" w:rsidRDefault="004409A2" w:rsidP="00451F94">
      <w:pPr>
        <w:spacing w:after="0"/>
        <w:jc w:val="both"/>
        <w:rPr>
          <w:b/>
          <w:sz w:val="22"/>
          <w:highlight w:val="yellow"/>
        </w:rPr>
      </w:pPr>
      <w:r w:rsidRPr="004409A2">
        <w:rPr>
          <w:b/>
          <w:sz w:val="22"/>
          <w:highlight w:val="yellow"/>
        </w:rPr>
        <w:t>Konto 16 Potraživanja za p</w:t>
      </w:r>
      <w:r w:rsidR="00A15718">
        <w:rPr>
          <w:b/>
          <w:sz w:val="22"/>
          <w:highlight w:val="yellow"/>
        </w:rPr>
        <w:t>rihode poslovanja</w:t>
      </w:r>
    </w:p>
    <w:p w:rsidR="00A15718" w:rsidRDefault="00A15718" w:rsidP="00451F94">
      <w:pPr>
        <w:spacing w:after="0"/>
        <w:jc w:val="both"/>
        <w:rPr>
          <w:sz w:val="22"/>
        </w:rPr>
      </w:pPr>
      <w:r w:rsidRPr="00A15718">
        <w:rPr>
          <w:sz w:val="22"/>
        </w:rPr>
        <w:t xml:space="preserve">Potraživanja za prihode poslovanja </w:t>
      </w:r>
      <w:r>
        <w:rPr>
          <w:sz w:val="22"/>
        </w:rPr>
        <w:t>iznose ukupno 430.453,04 EUR, a sadrže zadržane predujmove po EU sredstvima knjižen</w:t>
      </w:r>
      <w:r w:rsidR="000A215F">
        <w:rPr>
          <w:sz w:val="22"/>
        </w:rPr>
        <w:t>e</w:t>
      </w:r>
      <w:r>
        <w:rPr>
          <w:sz w:val="22"/>
        </w:rPr>
        <w:t xml:space="preserve"> sukladno uputama novog Pravilnika. Najveća stavka u iznosu 350.582,15 EUR odnosi se na potraživanja za upravne i administrativne pristojbe</w:t>
      </w:r>
      <w:r w:rsidR="000A215F">
        <w:rPr>
          <w:sz w:val="22"/>
        </w:rPr>
        <w:t xml:space="preserve"> - </w:t>
      </w:r>
      <w:r>
        <w:rPr>
          <w:sz w:val="22"/>
        </w:rPr>
        <w:t xml:space="preserve">nenaplaćene školarine i upisne pristojbe studenata (3. i 4. rata školarina koje dospijevaju </w:t>
      </w:r>
      <w:r w:rsidR="000A215F">
        <w:rPr>
          <w:sz w:val="22"/>
        </w:rPr>
        <w:t>25.02.2026. i 30.04.2026. te sporna potraživanja prema studentima koja su dio ovršnog postupka). Na kontu 166 Potraživanja za prihode od prodaje proizvoda (13.296,85 EUR), nalaze se potraživanja za dvije fakturirane usluge izrađenih prometnih studija koje je za tržište radio Odjel za logistiku i održivu mobilnosti te potraživanja za najam prostora i opreme izdane na dan 31.12.2025.</w:t>
      </w:r>
    </w:p>
    <w:p w:rsidR="005800BF" w:rsidRDefault="005800BF" w:rsidP="00451F94">
      <w:pPr>
        <w:spacing w:after="0"/>
        <w:jc w:val="both"/>
        <w:rPr>
          <w:sz w:val="22"/>
        </w:rPr>
      </w:pPr>
    </w:p>
    <w:p w:rsidR="009F3C0D" w:rsidRPr="00805869" w:rsidRDefault="009F3C0D" w:rsidP="00451F94">
      <w:pPr>
        <w:spacing w:after="0"/>
        <w:jc w:val="both"/>
        <w:rPr>
          <w:rFonts w:cs="Times New Roman"/>
          <w:sz w:val="22"/>
        </w:rPr>
      </w:pPr>
      <w:r w:rsidRPr="00805869">
        <w:rPr>
          <w:rFonts w:cs="Times New Roman"/>
          <w:sz w:val="22"/>
          <w:highlight w:val="yellow"/>
        </w:rPr>
        <w:t>169</w:t>
      </w:r>
      <w:r w:rsidR="00187C5C" w:rsidRPr="00805869">
        <w:rPr>
          <w:rFonts w:cs="Times New Roman"/>
          <w:sz w:val="22"/>
          <w:highlight w:val="yellow"/>
        </w:rPr>
        <w:t xml:space="preserve"> Ispravak vrijednosti potraživanja</w:t>
      </w:r>
    </w:p>
    <w:p w:rsidR="00187C5C" w:rsidRPr="00805869" w:rsidRDefault="00187C5C" w:rsidP="00451F94">
      <w:pPr>
        <w:spacing w:after="0"/>
        <w:jc w:val="both"/>
        <w:rPr>
          <w:rFonts w:cs="Times New Roman"/>
          <w:sz w:val="22"/>
        </w:rPr>
      </w:pPr>
    </w:p>
    <w:p w:rsidR="00187C5C" w:rsidRPr="00805869" w:rsidRDefault="00187C5C" w:rsidP="00187C5C">
      <w:pPr>
        <w:spacing w:line="276" w:lineRule="auto"/>
        <w:jc w:val="both"/>
        <w:rPr>
          <w:rFonts w:cs="Times New Roman"/>
          <w:b/>
          <w:color w:val="FF0000"/>
          <w:sz w:val="22"/>
        </w:rPr>
      </w:pPr>
      <w:r w:rsidRPr="00805869">
        <w:rPr>
          <w:rFonts w:cs="Times New Roman"/>
          <w:b/>
          <w:color w:val="FF0000"/>
          <w:sz w:val="22"/>
        </w:rPr>
        <w:t>ISPRAVAK VRIJEDNOSTI POTRAŽIVANJA</w:t>
      </w:r>
    </w:p>
    <w:p w:rsidR="009F3C0D" w:rsidRPr="00805869" w:rsidRDefault="00F235F8" w:rsidP="00F235F8">
      <w:pPr>
        <w:spacing w:line="276" w:lineRule="auto"/>
        <w:jc w:val="both"/>
        <w:rPr>
          <w:rFonts w:cs="Times New Roman"/>
          <w:b/>
          <w:color w:val="FF0000"/>
          <w:sz w:val="22"/>
        </w:rPr>
      </w:pPr>
      <w:r w:rsidRPr="00805869">
        <w:rPr>
          <w:rFonts w:cs="Times New Roman"/>
          <w:color w:val="222222"/>
          <w:sz w:val="22"/>
          <w:shd w:val="clear" w:color="auto" w:fill="FFFFFF"/>
        </w:rPr>
        <w:t>Temeljem članka 129. Pravilnika o proračunskom računovodstvu i računskom planu  izvršen je ispravak vrijednost potraživanja uzimaju u obzir kašnjenje u naplati preko dvije godine i (prihodi od školarina i popratnih troškova). Ispravak vrijednosti potraživanja izvršen je za vrijednosti potraživanja s kojima se kasni s naplatom više od dvije godine  (stopa 100%) u iznosu od 838,60 EUR, a u iznosu 1.786,91 EUR zatvoren je ispravak vrijednosti za potraživanja koja su naplaćena tokom 2025.  Saldo na računu ispravka vrijednosti potraživanja iznosi 12.178,86 EUR.</w:t>
      </w:r>
    </w:p>
    <w:p w:rsidR="000A215F" w:rsidRDefault="000A215F" w:rsidP="00451F94">
      <w:pPr>
        <w:spacing w:after="0"/>
        <w:jc w:val="both"/>
        <w:rPr>
          <w:sz w:val="22"/>
        </w:rPr>
      </w:pPr>
    </w:p>
    <w:p w:rsidR="000A215F" w:rsidRDefault="000A215F" w:rsidP="00451F94">
      <w:pPr>
        <w:spacing w:after="0"/>
        <w:jc w:val="both"/>
        <w:rPr>
          <w:b/>
          <w:sz w:val="22"/>
          <w:highlight w:val="yellow"/>
        </w:rPr>
      </w:pPr>
      <w:r w:rsidRPr="000A215F">
        <w:rPr>
          <w:b/>
          <w:sz w:val="22"/>
          <w:highlight w:val="yellow"/>
        </w:rPr>
        <w:t>Konto 19 Rashodi budućih razdoblja i nedospjela naplata prihoda</w:t>
      </w:r>
    </w:p>
    <w:p w:rsidR="004409A2" w:rsidRDefault="005800BF" w:rsidP="00451F94">
      <w:pPr>
        <w:spacing w:after="0"/>
        <w:jc w:val="both"/>
        <w:rPr>
          <w:sz w:val="22"/>
        </w:rPr>
      </w:pPr>
      <w:r w:rsidRPr="005800BF">
        <w:rPr>
          <w:sz w:val="22"/>
        </w:rPr>
        <w:t xml:space="preserve">Rashodi </w:t>
      </w:r>
      <w:r>
        <w:rPr>
          <w:sz w:val="22"/>
        </w:rPr>
        <w:t>budućih razdoblja evidentirani su za troškove plaćenih osiguranja imovine, opreme, prijevoznih sredstava i zaposlenika koji pokrivaju razdoblje 2025. i 2026. godine, pretplate na časopise za 2026. godinu, međunarodne članarine za 2026. godinu.</w:t>
      </w:r>
    </w:p>
    <w:p w:rsidR="00D158D4" w:rsidRDefault="00D158D4" w:rsidP="00451F94">
      <w:pPr>
        <w:spacing w:after="0"/>
        <w:jc w:val="both"/>
        <w:rPr>
          <w:sz w:val="22"/>
        </w:rPr>
      </w:pPr>
    </w:p>
    <w:p w:rsidR="00D158D4" w:rsidRDefault="00D158D4" w:rsidP="00451F94">
      <w:pPr>
        <w:spacing w:after="0"/>
        <w:jc w:val="both"/>
        <w:rPr>
          <w:sz w:val="22"/>
        </w:rPr>
      </w:pPr>
    </w:p>
    <w:p w:rsidR="00F6542F" w:rsidRPr="00377875" w:rsidRDefault="00D158D4" w:rsidP="00377875">
      <w:pPr>
        <w:spacing w:after="0"/>
        <w:jc w:val="both"/>
        <w:rPr>
          <w:b/>
          <w:sz w:val="22"/>
        </w:rPr>
      </w:pPr>
      <w:r w:rsidRPr="00377875">
        <w:rPr>
          <w:b/>
          <w:sz w:val="22"/>
          <w:highlight w:val="yellow"/>
        </w:rPr>
        <w:t>2 - OBVEZE</w:t>
      </w:r>
    </w:p>
    <w:p w:rsidR="00F6542F" w:rsidRDefault="00F6542F" w:rsidP="00F6542F">
      <w:pPr>
        <w:spacing w:line="240" w:lineRule="auto"/>
        <w:jc w:val="both"/>
        <w:rPr>
          <w:sz w:val="22"/>
        </w:rPr>
      </w:pPr>
      <w:r w:rsidRPr="003E69DA">
        <w:rPr>
          <w:sz w:val="22"/>
        </w:rPr>
        <w:t xml:space="preserve">Stanje obveza 1. siječnja 2025. godine Sveučilišta Sjever iznosi 1.147.308,14 EUR i istovjetno je stanju obveza na dan 31.12.2024. godine, a ukupne obveze na kraju izvještajnog razdoblja (na dan </w:t>
      </w:r>
      <w:r>
        <w:rPr>
          <w:sz w:val="22"/>
        </w:rPr>
        <w:t>31</w:t>
      </w:r>
      <w:r w:rsidRPr="003E69DA">
        <w:rPr>
          <w:sz w:val="22"/>
        </w:rPr>
        <w:t xml:space="preserve">. </w:t>
      </w:r>
      <w:r>
        <w:rPr>
          <w:sz w:val="22"/>
        </w:rPr>
        <w:t>prosinca</w:t>
      </w:r>
      <w:r w:rsidRPr="003E69DA">
        <w:rPr>
          <w:sz w:val="22"/>
        </w:rPr>
        <w:t xml:space="preserve"> 2025.) iznose 1.</w:t>
      </w:r>
      <w:r>
        <w:rPr>
          <w:sz w:val="22"/>
        </w:rPr>
        <w:t>722.880,49</w:t>
      </w:r>
      <w:r w:rsidRPr="003E69DA">
        <w:rPr>
          <w:sz w:val="22"/>
        </w:rPr>
        <w:t xml:space="preserve"> EUR.</w:t>
      </w:r>
      <w:r>
        <w:rPr>
          <w:sz w:val="22"/>
        </w:rPr>
        <w:t xml:space="preserve"> Stanje ukupnih obveza prema bilanci na dan 31.12.2025. iznosi 1.724.488,25 EUR, ali u obrascu Obveze ukupne obveze na godišnjoj razini umanjuju se za stanje obveza konta 29 – Odgođeno plaćanje rashoda i prihodi budućih razdoblja (1.607,76 EUR) – detaljno pojašnjenje stavaka konta 29 u objašnjenjima obrasca Bilance.</w:t>
      </w:r>
    </w:p>
    <w:p w:rsidR="00F6542F" w:rsidRDefault="00F6542F" w:rsidP="00F6542F">
      <w:pPr>
        <w:spacing w:line="240" w:lineRule="auto"/>
        <w:jc w:val="both"/>
        <w:rPr>
          <w:sz w:val="22"/>
        </w:rPr>
      </w:pPr>
      <w:r w:rsidRPr="00377875">
        <w:rPr>
          <w:sz w:val="22"/>
        </w:rPr>
        <w:t>Promatrajući dospjelost obveza, nedospjele obveze iznose 1.531.244,75 EUR, a stanje dospjelih obveza</w:t>
      </w:r>
      <w:r w:rsidRPr="003E69DA">
        <w:rPr>
          <w:sz w:val="22"/>
        </w:rPr>
        <w:t xml:space="preserve"> na dan 3</w:t>
      </w:r>
      <w:r>
        <w:rPr>
          <w:sz w:val="22"/>
        </w:rPr>
        <w:t>1</w:t>
      </w:r>
      <w:r w:rsidRPr="003E69DA">
        <w:rPr>
          <w:sz w:val="22"/>
        </w:rPr>
        <w:t>.</w:t>
      </w:r>
      <w:r>
        <w:rPr>
          <w:sz w:val="22"/>
        </w:rPr>
        <w:t>12</w:t>
      </w:r>
      <w:r w:rsidRPr="003E69DA">
        <w:rPr>
          <w:sz w:val="22"/>
        </w:rPr>
        <w:t>.2025. iznosi 1</w:t>
      </w:r>
      <w:r>
        <w:rPr>
          <w:sz w:val="22"/>
        </w:rPr>
        <w:t>91.635,74</w:t>
      </w:r>
      <w:r w:rsidRPr="003E69DA">
        <w:rPr>
          <w:sz w:val="22"/>
        </w:rPr>
        <w:t xml:space="preserve"> EUR. Promatrajući ročnost dospjelih obveza, obveze s </w:t>
      </w:r>
      <w:r w:rsidRPr="003E69DA">
        <w:rPr>
          <w:sz w:val="22"/>
        </w:rPr>
        <w:lastRenderedPageBreak/>
        <w:t xml:space="preserve">prekoračenjem 1 do 60 dana iznose </w:t>
      </w:r>
      <w:r>
        <w:rPr>
          <w:sz w:val="22"/>
        </w:rPr>
        <w:t>63.337,37</w:t>
      </w:r>
      <w:r w:rsidRPr="003E69DA">
        <w:rPr>
          <w:sz w:val="22"/>
        </w:rPr>
        <w:t xml:space="preserve"> EUR, prekoračenjem 61 do 180 dana iznose </w:t>
      </w:r>
      <w:r>
        <w:rPr>
          <w:sz w:val="22"/>
        </w:rPr>
        <w:t>4.480,77</w:t>
      </w:r>
      <w:r w:rsidRPr="003E69DA">
        <w:rPr>
          <w:sz w:val="22"/>
        </w:rPr>
        <w:t xml:space="preserve"> EUR, prekoračenjem 181 do 360 dana iznose </w:t>
      </w:r>
      <w:r>
        <w:rPr>
          <w:sz w:val="22"/>
        </w:rPr>
        <w:t>45.028,41</w:t>
      </w:r>
      <w:r w:rsidRPr="003E69DA">
        <w:rPr>
          <w:sz w:val="22"/>
        </w:rPr>
        <w:t xml:space="preserve"> EUR, a obveze s prekoračenjem preko 360 dana iznosa </w:t>
      </w:r>
      <w:r>
        <w:rPr>
          <w:sz w:val="22"/>
        </w:rPr>
        <w:t>1.187,45</w:t>
      </w:r>
      <w:r w:rsidRPr="003E69DA">
        <w:rPr>
          <w:sz w:val="22"/>
        </w:rPr>
        <w:t xml:space="preserve"> EUR. Posljednji iznos</w:t>
      </w:r>
      <w:r>
        <w:rPr>
          <w:sz w:val="22"/>
        </w:rPr>
        <w:t>i prekoračenja (preko 181 dan pa nadalje)</w:t>
      </w:r>
      <w:r w:rsidRPr="003E69DA">
        <w:rPr>
          <w:sz w:val="22"/>
        </w:rPr>
        <w:t xml:space="preserve"> odnosi se na obvezu prema dobavljaču za koju nije dobiven točan i detaljan zapisnik o izvršenoj usluzi te je u tijeku daljnja usklade sa dobavljačem i postupak osporavanja fakture</w:t>
      </w:r>
      <w:r>
        <w:rPr>
          <w:sz w:val="22"/>
        </w:rPr>
        <w:t>, a u drugom slučaju zatraženo je otklanjanje nedostataka sukladno ugovoru.</w:t>
      </w:r>
    </w:p>
    <w:p w:rsidR="00F6542F" w:rsidRDefault="00F6542F" w:rsidP="00F6542F">
      <w:pPr>
        <w:spacing w:line="240" w:lineRule="auto"/>
        <w:jc w:val="both"/>
        <w:rPr>
          <w:sz w:val="22"/>
        </w:rPr>
      </w:pPr>
      <w:r w:rsidRPr="00377875">
        <w:rPr>
          <w:sz w:val="22"/>
        </w:rPr>
        <w:t>Nedospjele</w:t>
      </w:r>
      <w:r w:rsidRPr="00377875">
        <w:rPr>
          <w:color w:val="FF0000"/>
          <w:sz w:val="22"/>
        </w:rPr>
        <w:t xml:space="preserve"> </w:t>
      </w:r>
      <w:r w:rsidRPr="00377875">
        <w:rPr>
          <w:sz w:val="22"/>
        </w:rPr>
        <w:t>obveze odnose se na obveze za zaposlene (plaće i materijalna prava za mjesec prosinac 2025.</w:t>
      </w:r>
      <w:r w:rsidRPr="003E69DA">
        <w:rPr>
          <w:sz w:val="22"/>
        </w:rPr>
        <w:t xml:space="preserve"> godine) te neplaćene fakture rashoda za usluge. Promatrajući ročnost dospjelih obveza, obveze s prekoračenjem 1 do 60 dana iznose </w:t>
      </w:r>
      <w:r>
        <w:rPr>
          <w:sz w:val="22"/>
        </w:rPr>
        <w:t>63.337,37</w:t>
      </w:r>
      <w:r w:rsidRPr="003E69DA">
        <w:rPr>
          <w:sz w:val="22"/>
        </w:rPr>
        <w:t xml:space="preserve"> EUR, prekoračenjem 61 do 180 dana iznose </w:t>
      </w:r>
      <w:r>
        <w:rPr>
          <w:sz w:val="22"/>
        </w:rPr>
        <w:t>4.480,77</w:t>
      </w:r>
      <w:r w:rsidRPr="003E69DA">
        <w:rPr>
          <w:sz w:val="22"/>
        </w:rPr>
        <w:t xml:space="preserve"> EUR, prekoračenjem 181 do 360 dana iznose </w:t>
      </w:r>
      <w:r>
        <w:rPr>
          <w:sz w:val="22"/>
        </w:rPr>
        <w:t>45.028,41</w:t>
      </w:r>
      <w:r w:rsidRPr="003E69DA">
        <w:rPr>
          <w:sz w:val="22"/>
        </w:rPr>
        <w:t xml:space="preserve"> EUR, a obveze s prekoračenjem preko 360 dana iznosa </w:t>
      </w:r>
      <w:r>
        <w:rPr>
          <w:sz w:val="22"/>
        </w:rPr>
        <w:t>1.187,45</w:t>
      </w:r>
      <w:r w:rsidRPr="003E69DA">
        <w:rPr>
          <w:sz w:val="22"/>
        </w:rPr>
        <w:t xml:space="preserve"> EUR. Posljednji iznos</w:t>
      </w:r>
      <w:r>
        <w:rPr>
          <w:sz w:val="22"/>
        </w:rPr>
        <w:t>i prekoračenja (preko 181 dan pa nadalje)</w:t>
      </w:r>
      <w:r w:rsidRPr="003E69DA">
        <w:rPr>
          <w:sz w:val="22"/>
        </w:rPr>
        <w:t xml:space="preserve"> odnosi se na obvezu prema dobavljaču za koju nije dobiven točan i detaljan zapisnik o izvršenoj usluzi te je u tijeku daljnja usklade sa dobavljačem i postupak osporavanja fakture</w:t>
      </w:r>
      <w:r>
        <w:rPr>
          <w:sz w:val="22"/>
        </w:rPr>
        <w:t>, a u drugom slučaju zatraženo je otklanjanje nedostataka sukladno ugovoru.</w:t>
      </w:r>
    </w:p>
    <w:p w:rsidR="00F235F8" w:rsidRPr="00B10DB6" w:rsidRDefault="00F235F8" w:rsidP="00F6542F">
      <w:pPr>
        <w:spacing w:line="240" w:lineRule="auto"/>
        <w:jc w:val="both"/>
        <w:rPr>
          <w:sz w:val="22"/>
        </w:rPr>
      </w:pPr>
    </w:p>
    <w:p w:rsidR="00407D7B" w:rsidRPr="00171834" w:rsidRDefault="00407D7B" w:rsidP="006356EE">
      <w:pPr>
        <w:spacing w:line="276" w:lineRule="auto"/>
        <w:jc w:val="both"/>
        <w:rPr>
          <w:rFonts w:cs="Times New Roman"/>
          <w:sz w:val="22"/>
        </w:rPr>
      </w:pPr>
      <w:r w:rsidRPr="00407D7B">
        <w:rPr>
          <w:rFonts w:cs="Times New Roman"/>
          <w:b/>
          <w:sz w:val="22"/>
          <w:highlight w:val="yellow"/>
        </w:rPr>
        <w:t>Konto 29111</w:t>
      </w:r>
      <w:r w:rsidR="002C5A91">
        <w:rPr>
          <w:rFonts w:cs="Times New Roman"/>
          <w:b/>
          <w:sz w:val="22"/>
          <w:highlight w:val="yellow"/>
        </w:rPr>
        <w:t xml:space="preserve"> – stanje 1.607,76 EUR</w:t>
      </w:r>
      <w:r w:rsidRPr="00171834">
        <w:fldChar w:fldCharType="begin"/>
      </w:r>
      <w:r w:rsidRPr="00171834">
        <w:instrText xml:space="preserve"> LINK </w:instrText>
      </w:r>
      <w:r w:rsidR="000E6A2E">
        <w:instrText xml:space="preserve">Excel.Sheet.8 "C:\\Users\\mklicek\\Desktop\\Kopija Konto 29111-2025.xls" List1!R7C11:R17C13 </w:instrText>
      </w:r>
      <w:r w:rsidRPr="00171834">
        <w:instrText xml:space="preserve">\a \f 4 \h </w:instrText>
      </w:r>
      <w:r w:rsidR="00171834" w:rsidRPr="00171834">
        <w:instrText xml:space="preserve"> \* MERGEFORMAT </w:instrText>
      </w:r>
      <w:r w:rsidRPr="00171834">
        <w:fldChar w:fldCharType="separate"/>
      </w:r>
    </w:p>
    <w:tbl>
      <w:tblPr>
        <w:tblW w:w="10040" w:type="dxa"/>
        <w:tblLook w:val="04A0" w:firstRow="1" w:lastRow="0" w:firstColumn="1" w:lastColumn="0" w:noHBand="0" w:noVBand="1"/>
      </w:tblPr>
      <w:tblGrid>
        <w:gridCol w:w="1320"/>
        <w:gridCol w:w="8720"/>
      </w:tblGrid>
      <w:tr w:rsidR="00407D7B" w:rsidRPr="00407D7B" w:rsidTr="00407D7B">
        <w:trPr>
          <w:trHeight w:val="255"/>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782,50 €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KING ICT USLUGE PREMJEŠTANJA I ODRŽAVANJA POSLUŽITELJA . MJ. NAKNADA ZA 12/2025</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28,15 €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HP HRVATSKA POŠTA - PAKET  24</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2,00 €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HP HRVATSKA POŠTA - PAKET  24</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LIKEIT24 - PREDRAČUN STH-17088</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267,49 €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12/2025 - nedostaje knjiženje - GKP Komunalac</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262,50 €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12/2025 - nedostaje knjiženje - JVP Koprivnica</w:t>
            </w:r>
          </w:p>
        </w:tc>
      </w:tr>
      <w:tr w:rsidR="00407D7B" w:rsidRPr="00407D7B" w:rsidTr="00407D7B">
        <w:trPr>
          <w:trHeight w:val="270"/>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73,00 €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12/2025 -Naknada za usluge putem digitalnog certifikata (PKI) -FINA</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5,70 €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za 12/2025 KOPRIVNIČKE VODE</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142,41 €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za 12/2025 KOPRIVNIČKE VODE</w:t>
            </w:r>
          </w:p>
        </w:tc>
      </w:tr>
      <w:tr w:rsidR="00407D7B" w:rsidRPr="00407D7B" w:rsidTr="00407D7B">
        <w:trPr>
          <w:trHeight w:val="229"/>
        </w:trPr>
        <w:tc>
          <w:tcPr>
            <w:tcW w:w="1320" w:type="dxa"/>
            <w:tcBorders>
              <w:top w:val="nil"/>
              <w:left w:val="nil"/>
              <w:bottom w:val="nil"/>
              <w:right w:val="nil"/>
            </w:tcBorders>
            <w:shd w:val="clear" w:color="auto" w:fill="auto"/>
            <w:hideMark/>
          </w:tcPr>
          <w:p w:rsidR="00407D7B" w:rsidRPr="00407D7B" w:rsidRDefault="00407D7B" w:rsidP="00407D7B">
            <w:pPr>
              <w:spacing w:after="0" w:line="240" w:lineRule="auto"/>
              <w:jc w:val="right"/>
              <w:rPr>
                <w:rFonts w:eastAsia="Times New Roman" w:cs="Times New Roman"/>
                <w:color w:val="000000"/>
                <w:sz w:val="18"/>
                <w:szCs w:val="18"/>
              </w:rPr>
            </w:pPr>
            <w:r w:rsidRPr="00407D7B">
              <w:rPr>
                <w:rFonts w:eastAsia="Times New Roman" w:cs="Times New Roman"/>
                <w:color w:val="000000"/>
                <w:sz w:val="18"/>
                <w:szCs w:val="18"/>
              </w:rPr>
              <w:t>44,01 €</w:t>
            </w:r>
          </w:p>
        </w:tc>
        <w:tc>
          <w:tcPr>
            <w:tcW w:w="8720" w:type="dxa"/>
            <w:tcBorders>
              <w:top w:val="nil"/>
              <w:left w:val="nil"/>
              <w:bottom w:val="nil"/>
              <w:right w:val="nil"/>
            </w:tcBorders>
            <w:shd w:val="clear" w:color="auto" w:fill="auto"/>
            <w:hideMark/>
          </w:tcPr>
          <w:p w:rsidR="00407D7B" w:rsidRPr="00407D7B" w:rsidRDefault="00407D7B" w:rsidP="00407D7B">
            <w:pPr>
              <w:spacing w:after="0" w:line="240" w:lineRule="auto"/>
              <w:rPr>
                <w:rFonts w:eastAsia="Times New Roman" w:cs="Times New Roman"/>
                <w:color w:val="000000"/>
                <w:sz w:val="18"/>
                <w:szCs w:val="18"/>
              </w:rPr>
            </w:pPr>
            <w:r w:rsidRPr="00407D7B">
              <w:rPr>
                <w:rFonts w:eastAsia="Times New Roman" w:cs="Times New Roman"/>
                <w:color w:val="000000"/>
                <w:sz w:val="18"/>
                <w:szCs w:val="18"/>
              </w:rPr>
              <w:t>Periodični račun za 12/2025 KOPRIVNIČKE VODE</w:t>
            </w:r>
          </w:p>
        </w:tc>
      </w:tr>
    </w:tbl>
    <w:p w:rsidR="00F12501" w:rsidRDefault="00407D7B" w:rsidP="006356EE">
      <w:pPr>
        <w:spacing w:line="276" w:lineRule="auto"/>
        <w:jc w:val="both"/>
        <w:rPr>
          <w:rFonts w:cs="Times New Roman"/>
          <w:sz w:val="22"/>
        </w:rPr>
      </w:pPr>
      <w:r w:rsidRPr="00171834">
        <w:rPr>
          <w:rFonts w:cs="Times New Roman"/>
          <w:sz w:val="22"/>
        </w:rPr>
        <w:fldChar w:fldCharType="end"/>
      </w:r>
      <w:r w:rsidR="00171834" w:rsidRPr="00171834">
        <w:rPr>
          <w:rFonts w:cs="Times New Roman"/>
          <w:sz w:val="22"/>
        </w:rPr>
        <w:t xml:space="preserve">Na </w:t>
      </w:r>
      <w:r w:rsidR="00171834">
        <w:rPr>
          <w:rFonts w:cs="Times New Roman"/>
          <w:sz w:val="22"/>
        </w:rPr>
        <w:t xml:space="preserve">kontu </w:t>
      </w:r>
      <w:r w:rsidR="00171834" w:rsidRPr="00171834">
        <w:rPr>
          <w:rFonts w:cs="Times New Roman"/>
          <w:i/>
          <w:sz w:val="22"/>
        </w:rPr>
        <w:t>29111 Obračunati rashodi koji nisu fakturirani</w:t>
      </w:r>
      <w:r w:rsidR="00171834">
        <w:rPr>
          <w:rFonts w:cs="Times New Roman"/>
          <w:i/>
          <w:sz w:val="22"/>
        </w:rPr>
        <w:t xml:space="preserve"> </w:t>
      </w:r>
      <w:r w:rsidR="00171834" w:rsidRPr="00171834">
        <w:rPr>
          <w:rFonts w:cs="Times New Roman"/>
          <w:sz w:val="22"/>
        </w:rPr>
        <w:t xml:space="preserve">te </w:t>
      </w:r>
      <w:r w:rsidR="00A32E8C">
        <w:rPr>
          <w:rFonts w:cs="Times New Roman"/>
          <w:sz w:val="22"/>
        </w:rPr>
        <w:t xml:space="preserve">na </w:t>
      </w:r>
      <w:r w:rsidR="00171834" w:rsidRPr="00171834">
        <w:rPr>
          <w:rFonts w:cs="Times New Roman"/>
          <w:sz w:val="22"/>
        </w:rPr>
        <w:t>pripadajućem kontu rashoda</w:t>
      </w:r>
      <w:r w:rsidR="00171834">
        <w:rPr>
          <w:rFonts w:cs="Times New Roman"/>
          <w:sz w:val="22"/>
        </w:rPr>
        <w:t>,</w:t>
      </w:r>
      <w:r w:rsidR="00171834" w:rsidRPr="00171834">
        <w:rPr>
          <w:rFonts w:cs="Times New Roman"/>
          <w:sz w:val="22"/>
        </w:rPr>
        <w:t xml:space="preserve"> Sveučilište je prikazalo </w:t>
      </w:r>
      <w:r w:rsidR="00171834">
        <w:rPr>
          <w:rFonts w:cs="Times New Roman"/>
          <w:sz w:val="22"/>
        </w:rPr>
        <w:t>periodične rashode koji terete mjesec prosinac 2025. godine</w:t>
      </w:r>
      <w:r w:rsidR="00A32E8C">
        <w:rPr>
          <w:rFonts w:cs="Times New Roman"/>
          <w:sz w:val="22"/>
        </w:rPr>
        <w:t>. F</w:t>
      </w:r>
      <w:r w:rsidR="00171834">
        <w:rPr>
          <w:rFonts w:cs="Times New Roman"/>
          <w:sz w:val="22"/>
        </w:rPr>
        <w:t xml:space="preserve">akture </w:t>
      </w:r>
      <w:r w:rsidR="00A32E8C">
        <w:rPr>
          <w:rFonts w:cs="Times New Roman"/>
          <w:sz w:val="22"/>
        </w:rPr>
        <w:t xml:space="preserve">za navedene rashode </w:t>
      </w:r>
      <w:r w:rsidR="00171834">
        <w:rPr>
          <w:rFonts w:cs="Times New Roman"/>
          <w:sz w:val="22"/>
        </w:rPr>
        <w:t xml:space="preserve">nisu zaprimljene do trenutka izrade godišnjeg financijskog izvještaja, a tri fakture su zaprimljene izvan roka za podnošenja </w:t>
      </w:r>
      <w:proofErr w:type="spellStart"/>
      <w:r w:rsidR="00171834">
        <w:rPr>
          <w:rFonts w:cs="Times New Roman"/>
          <w:sz w:val="22"/>
        </w:rPr>
        <w:t>pdv</w:t>
      </w:r>
      <w:proofErr w:type="spellEnd"/>
      <w:r w:rsidR="00171834">
        <w:rPr>
          <w:rFonts w:cs="Times New Roman"/>
          <w:sz w:val="22"/>
        </w:rPr>
        <w:t xml:space="preserve"> prijave za mjesec prosinac 2025. Ukupan iznos obračunatih rashoda koji terete razdoblje iznose 1.607,76 EUR</w:t>
      </w:r>
      <w:r w:rsidR="00A32E8C">
        <w:rPr>
          <w:rFonts w:cs="Times New Roman"/>
          <w:sz w:val="22"/>
        </w:rPr>
        <w:t>.</w:t>
      </w:r>
    </w:p>
    <w:p w:rsidR="005202BE" w:rsidRPr="005202BE" w:rsidRDefault="005202BE" w:rsidP="006356EE">
      <w:pPr>
        <w:spacing w:line="276" w:lineRule="auto"/>
        <w:jc w:val="both"/>
        <w:rPr>
          <w:rFonts w:cs="Times New Roman"/>
          <w:sz w:val="22"/>
        </w:rPr>
      </w:pPr>
    </w:p>
    <w:p w:rsidR="006356EE" w:rsidRPr="008673FE" w:rsidRDefault="006356EE" w:rsidP="006356EE">
      <w:pPr>
        <w:spacing w:line="276" w:lineRule="auto"/>
        <w:jc w:val="both"/>
        <w:rPr>
          <w:rFonts w:cs="Times New Roman"/>
          <w:b/>
          <w:sz w:val="22"/>
        </w:rPr>
      </w:pPr>
      <w:r w:rsidRPr="008673FE">
        <w:rPr>
          <w:rFonts w:cs="Times New Roman"/>
          <w:b/>
          <w:sz w:val="22"/>
          <w:highlight w:val="yellow"/>
        </w:rPr>
        <w:t>RAS-funkcijski</w:t>
      </w:r>
    </w:p>
    <w:p w:rsidR="006356EE" w:rsidRPr="008673FE" w:rsidRDefault="006356EE" w:rsidP="006356EE">
      <w:pPr>
        <w:spacing w:line="276" w:lineRule="auto"/>
        <w:jc w:val="both"/>
        <w:rPr>
          <w:rFonts w:cs="Times New Roman"/>
          <w:sz w:val="22"/>
        </w:rPr>
      </w:pPr>
      <w:r w:rsidRPr="008673FE">
        <w:rPr>
          <w:rFonts w:cs="Times New Roman"/>
          <w:sz w:val="22"/>
        </w:rPr>
        <w:t xml:space="preserve">Rashodi poslovanja i rashodi za nabavu nefinancijske imovine klasificirani su u funkciju „Obrazovanje“            (09) u iznosu </w:t>
      </w:r>
      <w:r w:rsidR="008673FE" w:rsidRPr="008673FE">
        <w:rPr>
          <w:rFonts w:cs="Times New Roman"/>
          <w:sz w:val="22"/>
        </w:rPr>
        <w:t>16.110.552,26</w:t>
      </w:r>
      <w:r w:rsidRPr="008673FE">
        <w:rPr>
          <w:rFonts w:cs="Times New Roman"/>
          <w:sz w:val="22"/>
        </w:rPr>
        <w:t xml:space="preserve"> EUR, odnosno u „Visoka naobrazba - Prvi stupanj visoke naobrazbe“ (brojčane oznake funkcijske klasifikacije 094-0941</w:t>
      </w:r>
      <w:r w:rsidR="000C0030" w:rsidRPr="008673FE">
        <w:rPr>
          <w:rFonts w:cs="Times New Roman"/>
          <w:sz w:val="22"/>
        </w:rPr>
        <w:t>)</w:t>
      </w:r>
      <w:r w:rsidRPr="008673FE">
        <w:rPr>
          <w:rFonts w:cs="Times New Roman"/>
          <w:sz w:val="22"/>
        </w:rPr>
        <w:t xml:space="preserve">. U ukupnim rashodima Sveučilišta Sjever izostali su prijenosi proračunskim korisnicima iz svoje nadležnosti (podskupina </w:t>
      </w:r>
      <w:r w:rsidRPr="008673FE">
        <w:rPr>
          <w:rFonts w:cs="Times New Roman"/>
          <w:i/>
          <w:sz w:val="22"/>
        </w:rPr>
        <w:t>367 Prijenosi proračunskim korisnicima iz nadležnog proračuna za financiranje redovne djelatnosti</w:t>
      </w:r>
      <w:r w:rsidRPr="008673FE">
        <w:rPr>
          <w:rFonts w:cs="Times New Roman"/>
          <w:sz w:val="22"/>
        </w:rPr>
        <w:t>).</w:t>
      </w:r>
    </w:p>
    <w:p w:rsidR="006356EE" w:rsidRPr="00A278AA" w:rsidRDefault="006356EE" w:rsidP="006356EE">
      <w:pPr>
        <w:spacing w:line="276" w:lineRule="auto"/>
        <w:jc w:val="both"/>
        <w:rPr>
          <w:rFonts w:cs="Times New Roman"/>
          <w:color w:val="FF0000"/>
          <w:sz w:val="22"/>
        </w:rPr>
      </w:pPr>
    </w:p>
    <w:p w:rsidR="006356EE" w:rsidRPr="00906A04" w:rsidRDefault="006356EE" w:rsidP="006356EE">
      <w:pPr>
        <w:spacing w:line="276" w:lineRule="auto"/>
        <w:jc w:val="both"/>
        <w:rPr>
          <w:rFonts w:cs="Times New Roman"/>
          <w:b/>
          <w:sz w:val="22"/>
        </w:rPr>
      </w:pPr>
      <w:r w:rsidRPr="00906A04">
        <w:rPr>
          <w:rFonts w:cs="Times New Roman"/>
          <w:b/>
          <w:sz w:val="22"/>
          <w:highlight w:val="yellow"/>
        </w:rPr>
        <w:t>P-VRIO</w:t>
      </w:r>
    </w:p>
    <w:p w:rsidR="006356EE" w:rsidRPr="00906A04" w:rsidRDefault="006356EE" w:rsidP="006356EE">
      <w:pPr>
        <w:spacing w:line="276" w:lineRule="auto"/>
        <w:jc w:val="both"/>
        <w:rPr>
          <w:rFonts w:cs="Times New Roman"/>
          <w:sz w:val="22"/>
        </w:rPr>
      </w:pPr>
      <w:r w:rsidRPr="00906A04">
        <w:rPr>
          <w:rFonts w:cs="Times New Roman"/>
          <w:sz w:val="22"/>
        </w:rPr>
        <w:t>U obrascu P-VRIO prikazan</w:t>
      </w:r>
      <w:r w:rsidR="00E62057" w:rsidRPr="00906A04">
        <w:rPr>
          <w:rFonts w:cs="Times New Roman"/>
          <w:sz w:val="22"/>
        </w:rPr>
        <w:t>o</w:t>
      </w:r>
      <w:r w:rsidRPr="00906A04">
        <w:rPr>
          <w:rFonts w:cs="Times New Roman"/>
          <w:sz w:val="22"/>
        </w:rPr>
        <w:t xml:space="preserve"> je povećanja </w:t>
      </w:r>
      <w:r w:rsidR="008673FE" w:rsidRPr="00906A04">
        <w:rPr>
          <w:rFonts w:cs="Times New Roman"/>
          <w:sz w:val="22"/>
        </w:rPr>
        <w:t xml:space="preserve">promjene u obujmu </w:t>
      </w:r>
      <w:r w:rsidRPr="00906A04">
        <w:rPr>
          <w:rFonts w:cs="Times New Roman"/>
          <w:sz w:val="22"/>
        </w:rPr>
        <w:t xml:space="preserve">proizvedene dugotrajne imovine (P018) u iznosu od </w:t>
      </w:r>
      <w:r w:rsidR="008673FE" w:rsidRPr="00906A04">
        <w:rPr>
          <w:rFonts w:cs="Times New Roman"/>
          <w:sz w:val="22"/>
        </w:rPr>
        <w:t>1.486,86</w:t>
      </w:r>
      <w:r w:rsidRPr="00906A04">
        <w:rPr>
          <w:rFonts w:cs="Times New Roman"/>
          <w:sz w:val="22"/>
        </w:rPr>
        <w:t xml:space="preserve"> EUR, a odnosi se na donirane knjige </w:t>
      </w:r>
      <w:r w:rsidR="008673FE" w:rsidRPr="00906A04">
        <w:rPr>
          <w:rFonts w:cs="Times New Roman"/>
          <w:sz w:val="22"/>
        </w:rPr>
        <w:t xml:space="preserve">djelatnika </w:t>
      </w:r>
      <w:r w:rsidR="00E62057" w:rsidRPr="00906A04">
        <w:rPr>
          <w:rFonts w:cs="Times New Roman"/>
          <w:sz w:val="22"/>
        </w:rPr>
        <w:t>i potporu izdanjima sveučilišnih udženika</w:t>
      </w:r>
      <w:r w:rsidRPr="00906A04">
        <w:rPr>
          <w:rFonts w:cs="Times New Roman"/>
          <w:sz w:val="22"/>
        </w:rPr>
        <w:t xml:space="preserve">. U navedenom obrascu ujedno je prikazano smanjenje vrijednosti potraživanjima za prihode poslovanja (P029) u iznosu </w:t>
      </w:r>
      <w:r w:rsidR="00906A04" w:rsidRPr="00906A04">
        <w:rPr>
          <w:rFonts w:cs="Times New Roman"/>
          <w:sz w:val="22"/>
        </w:rPr>
        <w:t>51.493,61</w:t>
      </w:r>
      <w:r w:rsidRPr="00906A04">
        <w:rPr>
          <w:rFonts w:cs="Times New Roman"/>
          <w:sz w:val="22"/>
        </w:rPr>
        <w:t xml:space="preserve"> EUR koji se odnose na otpis potraživanja prema zaposlenicima temeljem odluka o financiranju školarina ili izbora u znanstvena zvanja te otpise iznosa školarina temeljem uspjeha studenata ili socijalnih kriterija te za potraživanja za koja je nastupila zastara. U 202</w:t>
      </w:r>
      <w:r w:rsidR="00906A04" w:rsidRPr="00906A04">
        <w:rPr>
          <w:rFonts w:cs="Times New Roman"/>
          <w:sz w:val="22"/>
        </w:rPr>
        <w:t>5</w:t>
      </w:r>
      <w:r w:rsidRPr="00906A04">
        <w:rPr>
          <w:rFonts w:cs="Times New Roman"/>
          <w:sz w:val="22"/>
        </w:rPr>
        <w:t xml:space="preserve">. </w:t>
      </w:r>
      <w:r w:rsidRPr="00906A04">
        <w:rPr>
          <w:rFonts w:cs="Times New Roman"/>
          <w:sz w:val="22"/>
        </w:rPr>
        <w:lastRenderedPageBreak/>
        <w:t xml:space="preserve">godini je zabilježeno smanjenje obveze za rashode poslovanja (P035) za otpis obveze prema dobavljaču radi nastupanja zastare u iznosu </w:t>
      </w:r>
      <w:r w:rsidR="00906A04" w:rsidRPr="00906A04">
        <w:rPr>
          <w:rFonts w:cs="Times New Roman"/>
          <w:sz w:val="22"/>
        </w:rPr>
        <w:t>995,42</w:t>
      </w:r>
      <w:r w:rsidRPr="00906A04">
        <w:rPr>
          <w:rFonts w:cs="Times New Roman"/>
          <w:sz w:val="22"/>
        </w:rPr>
        <w:t xml:space="preserve"> EUR</w:t>
      </w:r>
      <w:r w:rsidR="00906A04" w:rsidRPr="00906A04">
        <w:rPr>
          <w:rFonts w:cs="Times New Roman"/>
          <w:sz w:val="22"/>
        </w:rPr>
        <w:t>.</w:t>
      </w:r>
      <w:r w:rsidR="00906A04">
        <w:rPr>
          <w:rFonts w:cs="Times New Roman"/>
          <w:sz w:val="22"/>
        </w:rPr>
        <w:t xml:space="preserve"> Najveća stavka prikazana u obrascu P-VRIO (P002 i P003) odnosi se na evidentiranje amortizacije dugotrajne nefinancijske imovine preko konta promjene u vrijednosti imovine (P002 – 265.690,54 EUR, P003-766.387,35).</w:t>
      </w:r>
    </w:p>
    <w:p w:rsidR="00E2776A" w:rsidRPr="00A278AA" w:rsidRDefault="00E2776A" w:rsidP="00E2776A">
      <w:pPr>
        <w:spacing w:line="276" w:lineRule="auto"/>
        <w:jc w:val="both"/>
        <w:rPr>
          <w:rFonts w:cs="Times New Roman"/>
          <w:b/>
          <w:color w:val="FF0000"/>
          <w:sz w:val="22"/>
        </w:rPr>
      </w:pPr>
    </w:p>
    <w:p w:rsidR="00E2776A" w:rsidRPr="00C90DA7" w:rsidRDefault="00091145" w:rsidP="00E2776A">
      <w:pPr>
        <w:spacing w:line="276" w:lineRule="auto"/>
        <w:jc w:val="both"/>
        <w:rPr>
          <w:rFonts w:cs="Times New Roman"/>
          <w:b/>
          <w:sz w:val="22"/>
        </w:rPr>
      </w:pPr>
      <w:r w:rsidRPr="00C90DA7">
        <w:rPr>
          <w:rFonts w:cs="Times New Roman"/>
          <w:b/>
          <w:sz w:val="22"/>
          <w:highlight w:val="yellow"/>
        </w:rPr>
        <w:t>KOREKCIJA REZULTATA POSLOVANJA 2025.</w:t>
      </w:r>
    </w:p>
    <w:p w:rsidR="00AC2597" w:rsidRDefault="00AC2597" w:rsidP="00E2776A">
      <w:pPr>
        <w:spacing w:line="276" w:lineRule="auto"/>
        <w:jc w:val="both"/>
        <w:rPr>
          <w:rFonts w:cs="Times New Roman"/>
          <w:sz w:val="22"/>
        </w:rPr>
      </w:pPr>
      <w:r>
        <w:rPr>
          <w:rFonts w:cs="Times New Roman"/>
          <w:sz w:val="22"/>
        </w:rPr>
        <w:t xml:space="preserve">Kod utvrđivanja rezultata na kraju godine, Sveučilište je izvršilo obveznu korekciju rezultata na podskupini 922 za iznos kapitalnih pomoći i prijenose ostvarene tijekom proračunske godine, a koji su utrošeni za nabavu nefinancijske imovine. </w:t>
      </w:r>
      <w:r w:rsidR="00396624" w:rsidRPr="00396624">
        <w:rPr>
          <w:rFonts w:cs="Times New Roman"/>
          <w:sz w:val="22"/>
        </w:rPr>
        <w:t>S</w:t>
      </w:r>
      <w:r w:rsidR="00396624">
        <w:rPr>
          <w:rFonts w:cs="Times New Roman"/>
          <w:sz w:val="22"/>
        </w:rPr>
        <w:t xml:space="preserve">veučilište Sjever je tijekom proračunske 2025. godine ostvarilo </w:t>
      </w:r>
      <w:r>
        <w:rPr>
          <w:rFonts w:cs="Times New Roman"/>
          <w:sz w:val="22"/>
        </w:rPr>
        <w:t>kapitalne prijenose u iznosu 671.327 EUR doznačene od strane Ministarstva znanosti, obrazovanja i mladih, za financiranje izgradnje dugotrajne nefinancijske imovine (riječ je o doznakama sredstava iz Državnog proračuna Republike Hrvatske u svrhu podmirenja troškova izgradnje studentskog doma u Sveučilišnom centru Koprivnica, a temeljem dostavljenih zahtjeva za refundacijom sredstava). Uz navedeno Sveučilište ostvaruje i kapitalne donacije knjiga, udžbenika i ostale knjižnične građe u iznosu 281,39 EUR od strane fizičkih osoba. Postupkom korekcije rezultata za kapitalne prijenose postignut je realniji iskaz rezultata unutar svake kategorije</w:t>
      </w:r>
      <w:r w:rsidR="005D140B">
        <w:rPr>
          <w:rFonts w:cs="Times New Roman"/>
          <w:sz w:val="22"/>
        </w:rPr>
        <w:t>.</w:t>
      </w:r>
    </w:p>
    <w:p w:rsidR="005D140B" w:rsidRPr="00396624" w:rsidRDefault="005D140B" w:rsidP="00E2776A">
      <w:pPr>
        <w:spacing w:line="276" w:lineRule="auto"/>
        <w:jc w:val="both"/>
        <w:rPr>
          <w:rFonts w:cs="Times New Roman"/>
          <w:sz w:val="22"/>
        </w:rPr>
      </w:pPr>
    </w:p>
    <w:p w:rsidR="00E2776A" w:rsidRPr="00B20444" w:rsidRDefault="00E2776A" w:rsidP="00E2776A">
      <w:pPr>
        <w:spacing w:line="276" w:lineRule="auto"/>
        <w:jc w:val="both"/>
        <w:rPr>
          <w:rFonts w:cs="Times New Roman"/>
          <w:sz w:val="22"/>
        </w:rPr>
      </w:pPr>
      <w:r w:rsidRPr="00B20444">
        <w:rPr>
          <w:rFonts w:cs="Times New Roman"/>
          <w:b/>
          <w:i/>
          <w:sz w:val="22"/>
          <w:highlight w:val="yellow"/>
        </w:rPr>
        <w:t>IZVANBILANČNA EVIDENCIJA</w:t>
      </w:r>
      <w:r w:rsidR="005202BE" w:rsidRPr="00B20444">
        <w:rPr>
          <w:rFonts w:cs="Times New Roman"/>
          <w:b/>
          <w:i/>
          <w:sz w:val="22"/>
          <w:highlight w:val="yellow"/>
        </w:rPr>
        <w:t xml:space="preserve"> - 996</w:t>
      </w:r>
    </w:p>
    <w:p w:rsidR="00E2776A" w:rsidRPr="00B20444" w:rsidRDefault="00E2776A" w:rsidP="00E2776A">
      <w:pPr>
        <w:spacing w:line="276" w:lineRule="auto"/>
        <w:jc w:val="both"/>
        <w:rPr>
          <w:rFonts w:cs="Times New Roman"/>
          <w:b/>
          <w:sz w:val="22"/>
        </w:rPr>
      </w:pPr>
      <w:r w:rsidRPr="00B20444">
        <w:rPr>
          <w:rFonts w:cs="Times New Roman"/>
          <w:b/>
          <w:sz w:val="22"/>
        </w:rPr>
        <w:t>INSTRUMENTI OSIGURANJA PLAĆANJA – ZADUŽNICE</w:t>
      </w:r>
    </w:p>
    <w:p w:rsidR="00E2776A" w:rsidRPr="00B20444" w:rsidRDefault="00E2776A" w:rsidP="005202BE">
      <w:pPr>
        <w:spacing w:line="276" w:lineRule="auto"/>
        <w:jc w:val="both"/>
        <w:rPr>
          <w:rFonts w:cs="Times New Roman"/>
          <w:sz w:val="22"/>
        </w:rPr>
      </w:pPr>
      <w:r w:rsidRPr="00B20444">
        <w:rPr>
          <w:rFonts w:cs="Times New Roman"/>
          <w:sz w:val="22"/>
        </w:rPr>
        <w:t xml:space="preserve">Sveučilište Sjever u </w:t>
      </w:r>
      <w:proofErr w:type="spellStart"/>
      <w:r w:rsidRPr="00B20444">
        <w:rPr>
          <w:rFonts w:cs="Times New Roman"/>
          <w:sz w:val="22"/>
        </w:rPr>
        <w:t>izvanbilančnoj</w:t>
      </w:r>
      <w:proofErr w:type="spellEnd"/>
      <w:r w:rsidRPr="00B20444">
        <w:rPr>
          <w:rFonts w:cs="Times New Roman"/>
          <w:sz w:val="22"/>
        </w:rPr>
        <w:t xml:space="preserve"> evidenciji raspolaže sa instrumentima osiguranja plaćanja (zadužnicama / bjanko zadužnicama) u ukupnoj vrijednosti 2.</w:t>
      </w:r>
      <w:r w:rsidR="005202BE" w:rsidRPr="00B20444">
        <w:rPr>
          <w:rFonts w:cs="Times New Roman"/>
          <w:sz w:val="22"/>
        </w:rPr>
        <w:t>688.852,23</w:t>
      </w:r>
      <w:r w:rsidRPr="00B20444">
        <w:rPr>
          <w:rFonts w:cs="Times New Roman"/>
          <w:sz w:val="22"/>
        </w:rPr>
        <w:t xml:space="preserve"> EUR</w:t>
      </w:r>
      <w:r w:rsidR="005202BE" w:rsidRPr="00B20444">
        <w:rPr>
          <w:rFonts w:cs="Times New Roman"/>
          <w:sz w:val="22"/>
        </w:rPr>
        <w:t xml:space="preserve"> (stanje na dan 31.12.2025.)</w:t>
      </w:r>
      <w:r w:rsidRPr="00B20444">
        <w:rPr>
          <w:rFonts w:cs="Times New Roman"/>
          <w:sz w:val="22"/>
        </w:rPr>
        <w:t xml:space="preserve"> Instrumenti osiguranja plaćanja uvedeni su za prilikom upisa u akademsku godinu 2016./17. i zahtijevaju se kao instrument osiguranja plaćanja prilikom upisa studenata</w:t>
      </w:r>
      <w:r w:rsidR="005202BE" w:rsidRPr="00B20444">
        <w:rPr>
          <w:rFonts w:cs="Times New Roman"/>
          <w:sz w:val="22"/>
        </w:rPr>
        <w:t xml:space="preserve">. Evidencija zadužnica vodi se na zasebnom </w:t>
      </w:r>
      <w:proofErr w:type="spellStart"/>
      <w:r w:rsidR="005202BE" w:rsidRPr="00B20444">
        <w:rPr>
          <w:rFonts w:cs="Times New Roman"/>
          <w:sz w:val="22"/>
        </w:rPr>
        <w:t>google</w:t>
      </w:r>
      <w:proofErr w:type="spellEnd"/>
      <w:r w:rsidR="005202BE" w:rsidRPr="00B20444">
        <w:rPr>
          <w:rFonts w:cs="Times New Roman"/>
          <w:sz w:val="22"/>
        </w:rPr>
        <w:t xml:space="preserve"> disku prema organizacijskim jedinicama Odjela na kojima su studenti evidentirani.</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*04022</w:t>
      </w:r>
      <w:r w:rsidRPr="00B20444">
        <w:rPr>
          <w:rFonts w:cs="Times New Roman"/>
          <w:sz w:val="20"/>
          <w:szCs w:val="20"/>
        </w:rPr>
        <w:tab/>
        <w:t>Odsjek za nabavu i prodaju</w:t>
      </w:r>
      <w:r w:rsidRPr="00B20444">
        <w:rPr>
          <w:rFonts w:cs="Times New Roman"/>
          <w:sz w:val="20"/>
          <w:szCs w:val="20"/>
        </w:rPr>
        <w:tab/>
        <w:t>273.508,43 €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*0301</w:t>
      </w:r>
      <w:r w:rsidRPr="00B20444">
        <w:rPr>
          <w:rFonts w:cs="Times New Roman"/>
          <w:sz w:val="20"/>
          <w:szCs w:val="20"/>
        </w:rPr>
        <w:tab/>
        <w:t>Odjel za komunikologiju, medije i novinarstvo</w:t>
      </w:r>
      <w:r w:rsidRPr="00B20444">
        <w:rPr>
          <w:rFonts w:cs="Times New Roman"/>
          <w:sz w:val="20"/>
          <w:szCs w:val="20"/>
        </w:rPr>
        <w:tab/>
        <w:t>102.381,98 €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*0303</w:t>
      </w:r>
      <w:r w:rsidRPr="00B20444">
        <w:rPr>
          <w:rFonts w:cs="Times New Roman"/>
          <w:sz w:val="20"/>
          <w:szCs w:val="20"/>
        </w:rPr>
        <w:tab/>
        <w:t>Odjel za umjetničke studije</w:t>
      </w:r>
      <w:r w:rsidRPr="00B20444">
        <w:rPr>
          <w:rFonts w:cs="Times New Roman"/>
          <w:sz w:val="20"/>
          <w:szCs w:val="20"/>
        </w:rPr>
        <w:tab/>
        <w:t>59.544,56 €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*0304</w:t>
      </w:r>
      <w:r w:rsidRPr="00B20444">
        <w:rPr>
          <w:rFonts w:cs="Times New Roman"/>
          <w:sz w:val="20"/>
          <w:szCs w:val="20"/>
        </w:rPr>
        <w:tab/>
        <w:t>Odjel za odnose s javnostima</w:t>
      </w:r>
      <w:r w:rsidRPr="00B20444">
        <w:rPr>
          <w:rFonts w:cs="Times New Roman"/>
          <w:sz w:val="20"/>
          <w:szCs w:val="20"/>
        </w:rPr>
        <w:tab/>
        <w:t>19.272,28 €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*0305</w:t>
      </w:r>
      <w:r w:rsidRPr="00B20444">
        <w:rPr>
          <w:rFonts w:cs="Times New Roman"/>
          <w:sz w:val="20"/>
          <w:szCs w:val="20"/>
        </w:rPr>
        <w:tab/>
        <w:t>Odjel za ekonomiju</w:t>
      </w:r>
      <w:r w:rsidRPr="00B20444">
        <w:rPr>
          <w:rFonts w:cs="Times New Roman"/>
          <w:sz w:val="20"/>
          <w:szCs w:val="20"/>
        </w:rPr>
        <w:tab/>
        <w:t>63.798,53 €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*03052</w:t>
      </w:r>
      <w:r w:rsidRPr="00B20444">
        <w:rPr>
          <w:rFonts w:cs="Times New Roman"/>
          <w:sz w:val="20"/>
          <w:szCs w:val="20"/>
        </w:rPr>
        <w:tab/>
        <w:t>Odsjek za poduzetništvo i EU fondove</w:t>
      </w:r>
      <w:r w:rsidRPr="00B20444">
        <w:rPr>
          <w:rFonts w:cs="Times New Roman"/>
          <w:sz w:val="20"/>
          <w:szCs w:val="20"/>
        </w:rPr>
        <w:tab/>
        <w:t>110.251,51 €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*03053</w:t>
      </w:r>
      <w:r w:rsidRPr="00B20444">
        <w:rPr>
          <w:rFonts w:cs="Times New Roman"/>
          <w:sz w:val="20"/>
          <w:szCs w:val="20"/>
        </w:rPr>
        <w:tab/>
        <w:t>Odsjek za poslovanje i menadžment</w:t>
      </w:r>
      <w:r w:rsidRPr="00B20444">
        <w:rPr>
          <w:rFonts w:cs="Times New Roman"/>
          <w:sz w:val="20"/>
          <w:szCs w:val="20"/>
        </w:rPr>
        <w:tab/>
        <w:t>138.729,78 €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*0306</w:t>
      </w:r>
      <w:r w:rsidRPr="00B20444">
        <w:rPr>
          <w:rFonts w:cs="Times New Roman"/>
          <w:sz w:val="20"/>
          <w:szCs w:val="20"/>
        </w:rPr>
        <w:tab/>
        <w:t>Odjel za elektrotehniku</w:t>
      </w:r>
      <w:r w:rsidRPr="00B20444">
        <w:rPr>
          <w:rFonts w:cs="Times New Roman"/>
          <w:sz w:val="20"/>
          <w:szCs w:val="20"/>
        </w:rPr>
        <w:tab/>
        <w:t>104.846,11 €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*0307</w:t>
      </w:r>
      <w:r w:rsidRPr="00B20444">
        <w:rPr>
          <w:rFonts w:cs="Times New Roman"/>
          <w:sz w:val="20"/>
          <w:szCs w:val="20"/>
        </w:rPr>
        <w:tab/>
        <w:t>Odjel za strojarstvo</w:t>
      </w:r>
      <w:r w:rsidRPr="00B20444">
        <w:rPr>
          <w:rFonts w:cs="Times New Roman"/>
          <w:sz w:val="20"/>
          <w:szCs w:val="20"/>
        </w:rPr>
        <w:tab/>
        <w:t>186.191,32 €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*0308</w:t>
      </w:r>
      <w:r w:rsidRPr="00B20444">
        <w:rPr>
          <w:rFonts w:cs="Times New Roman"/>
          <w:sz w:val="20"/>
          <w:szCs w:val="20"/>
        </w:rPr>
        <w:tab/>
        <w:t>Odjel za multimediju</w:t>
      </w:r>
      <w:r w:rsidRPr="00B20444">
        <w:rPr>
          <w:rFonts w:cs="Times New Roman"/>
          <w:sz w:val="20"/>
          <w:szCs w:val="20"/>
        </w:rPr>
        <w:tab/>
        <w:t>179.337,63 €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*0309</w:t>
      </w:r>
      <w:r w:rsidRPr="00B20444">
        <w:rPr>
          <w:rFonts w:cs="Times New Roman"/>
          <w:sz w:val="20"/>
          <w:szCs w:val="20"/>
        </w:rPr>
        <w:tab/>
        <w:t>Odjel za graditeljstvo</w:t>
      </w:r>
      <w:r w:rsidRPr="00B20444">
        <w:rPr>
          <w:rFonts w:cs="Times New Roman"/>
          <w:sz w:val="20"/>
          <w:szCs w:val="20"/>
        </w:rPr>
        <w:tab/>
        <w:t>250.477,67 €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*0311</w:t>
      </w:r>
      <w:r w:rsidRPr="00B20444">
        <w:rPr>
          <w:rFonts w:cs="Times New Roman"/>
          <w:sz w:val="20"/>
          <w:szCs w:val="20"/>
        </w:rPr>
        <w:tab/>
        <w:t>Odjel za sestrinstvo</w:t>
      </w:r>
      <w:r w:rsidRPr="00B20444">
        <w:rPr>
          <w:rFonts w:cs="Times New Roman"/>
          <w:sz w:val="20"/>
          <w:szCs w:val="20"/>
        </w:rPr>
        <w:tab/>
        <w:t>528.277,79 €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*0312</w:t>
      </w:r>
      <w:r w:rsidRPr="00B20444">
        <w:rPr>
          <w:rFonts w:cs="Times New Roman"/>
          <w:sz w:val="20"/>
          <w:szCs w:val="20"/>
        </w:rPr>
        <w:tab/>
        <w:t>Odjel za ambalažu, recikliranje i zaštitu okoliša</w:t>
      </w:r>
      <w:r w:rsidRPr="00B20444">
        <w:rPr>
          <w:rFonts w:cs="Times New Roman"/>
          <w:sz w:val="20"/>
          <w:szCs w:val="20"/>
        </w:rPr>
        <w:tab/>
        <w:t>11.308,91 €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*03131</w:t>
      </w:r>
      <w:r w:rsidRPr="00B20444">
        <w:rPr>
          <w:rFonts w:cs="Times New Roman"/>
          <w:sz w:val="20"/>
          <w:szCs w:val="20"/>
        </w:rPr>
        <w:tab/>
        <w:t>Odsjek za logistiku i mobilnost (SC KC)</w:t>
      </w:r>
      <w:r w:rsidRPr="00B20444">
        <w:rPr>
          <w:rFonts w:cs="Times New Roman"/>
          <w:sz w:val="20"/>
          <w:szCs w:val="20"/>
        </w:rPr>
        <w:tab/>
        <w:t>57.544,56 €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*03132</w:t>
      </w:r>
      <w:r w:rsidRPr="00B20444">
        <w:rPr>
          <w:rFonts w:cs="Times New Roman"/>
          <w:sz w:val="20"/>
          <w:szCs w:val="20"/>
        </w:rPr>
        <w:tab/>
        <w:t>Odsjek za logistiku i mobilnost (SC VŽ)</w:t>
      </w:r>
      <w:r w:rsidRPr="00B20444">
        <w:rPr>
          <w:rFonts w:cs="Times New Roman"/>
          <w:sz w:val="20"/>
          <w:szCs w:val="20"/>
        </w:rPr>
        <w:tab/>
        <w:t>73.008,82 €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*0314</w:t>
      </w:r>
      <w:r w:rsidRPr="00B20444">
        <w:rPr>
          <w:rFonts w:cs="Times New Roman"/>
          <w:sz w:val="20"/>
          <w:szCs w:val="20"/>
        </w:rPr>
        <w:tab/>
        <w:t>Odjel za prehrambenu tehnologiju</w:t>
      </w:r>
      <w:r w:rsidRPr="00B20444">
        <w:rPr>
          <w:rFonts w:cs="Times New Roman"/>
          <w:sz w:val="20"/>
          <w:szCs w:val="20"/>
        </w:rPr>
        <w:tab/>
        <w:t>30.581,19 €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*0315</w:t>
      </w:r>
      <w:r w:rsidRPr="00B20444">
        <w:rPr>
          <w:rFonts w:cs="Times New Roman"/>
          <w:sz w:val="20"/>
          <w:szCs w:val="20"/>
        </w:rPr>
        <w:tab/>
        <w:t xml:space="preserve">Odjel za </w:t>
      </w:r>
      <w:proofErr w:type="spellStart"/>
      <w:r w:rsidRPr="00B20444">
        <w:rPr>
          <w:rFonts w:cs="Times New Roman"/>
          <w:sz w:val="20"/>
          <w:szCs w:val="20"/>
        </w:rPr>
        <w:t>mehatroniku</w:t>
      </w:r>
      <w:proofErr w:type="spellEnd"/>
      <w:r w:rsidRPr="00B20444">
        <w:rPr>
          <w:rFonts w:cs="Times New Roman"/>
          <w:sz w:val="20"/>
          <w:szCs w:val="20"/>
        </w:rPr>
        <w:tab/>
        <w:t>39.253,97 €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*0316</w:t>
      </w:r>
      <w:r w:rsidRPr="00B20444">
        <w:rPr>
          <w:rFonts w:cs="Times New Roman"/>
          <w:sz w:val="20"/>
          <w:szCs w:val="20"/>
        </w:rPr>
        <w:tab/>
        <w:t>Odjel za fizioterapiju</w:t>
      </w:r>
      <w:r w:rsidRPr="00B20444">
        <w:rPr>
          <w:rFonts w:cs="Times New Roman"/>
          <w:sz w:val="20"/>
          <w:szCs w:val="20"/>
        </w:rPr>
        <w:tab/>
        <w:t>171.015,86 €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*0317</w:t>
      </w:r>
      <w:r w:rsidRPr="00B20444">
        <w:rPr>
          <w:rFonts w:cs="Times New Roman"/>
          <w:sz w:val="20"/>
          <w:szCs w:val="20"/>
        </w:rPr>
        <w:tab/>
        <w:t>Odsjek za medije i komunikaciju</w:t>
      </w:r>
      <w:r w:rsidRPr="00B20444">
        <w:rPr>
          <w:rFonts w:cs="Times New Roman"/>
          <w:sz w:val="20"/>
          <w:szCs w:val="20"/>
        </w:rPr>
        <w:tab/>
        <w:t>220.612,91 €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*0320</w:t>
      </w:r>
      <w:r w:rsidRPr="00B20444">
        <w:rPr>
          <w:rFonts w:cs="Times New Roman"/>
          <w:sz w:val="20"/>
          <w:szCs w:val="20"/>
        </w:rPr>
        <w:tab/>
        <w:t>Odjel za računarstvo i informatiku (Đurđevac)</w:t>
      </w:r>
      <w:r w:rsidRPr="00B20444">
        <w:rPr>
          <w:rFonts w:cs="Times New Roman"/>
          <w:sz w:val="20"/>
          <w:szCs w:val="20"/>
        </w:rPr>
        <w:tab/>
        <w:t>18.599,51 €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lastRenderedPageBreak/>
        <w:t>*0321</w:t>
      </w:r>
      <w:r w:rsidRPr="00B20444">
        <w:rPr>
          <w:rFonts w:cs="Times New Roman"/>
          <w:sz w:val="20"/>
          <w:szCs w:val="20"/>
        </w:rPr>
        <w:tab/>
        <w:t xml:space="preserve">Odjel za geodeziju i  </w:t>
      </w:r>
      <w:proofErr w:type="spellStart"/>
      <w:r w:rsidRPr="00B20444">
        <w:rPr>
          <w:rFonts w:cs="Times New Roman"/>
          <w:sz w:val="20"/>
          <w:szCs w:val="20"/>
        </w:rPr>
        <w:t>geomatiku</w:t>
      </w:r>
      <w:proofErr w:type="spellEnd"/>
      <w:r w:rsidRPr="00B20444">
        <w:rPr>
          <w:rFonts w:cs="Times New Roman"/>
          <w:sz w:val="20"/>
          <w:szCs w:val="20"/>
        </w:rPr>
        <w:t xml:space="preserve"> </w:t>
      </w:r>
      <w:r w:rsidRPr="00B20444">
        <w:rPr>
          <w:rFonts w:cs="Times New Roman"/>
          <w:sz w:val="20"/>
          <w:szCs w:val="20"/>
        </w:rPr>
        <w:tab/>
        <w:t>37.981,68 €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*0322</w:t>
      </w:r>
      <w:r w:rsidRPr="00B20444">
        <w:rPr>
          <w:rFonts w:cs="Times New Roman"/>
          <w:sz w:val="20"/>
          <w:szCs w:val="20"/>
        </w:rPr>
        <w:tab/>
        <w:t>Zaštita okoliša, recikliranje i ambalaža</w:t>
      </w:r>
      <w:r w:rsidRPr="00B20444">
        <w:rPr>
          <w:rFonts w:cs="Times New Roman"/>
          <w:sz w:val="20"/>
          <w:szCs w:val="20"/>
        </w:rPr>
        <w:tab/>
        <w:t>1.327,23 €</w:t>
      </w:r>
    </w:p>
    <w:p w:rsidR="00B20444" w:rsidRPr="00B20444" w:rsidRDefault="00B20444" w:rsidP="00B20444">
      <w:pPr>
        <w:autoSpaceDE w:val="0"/>
        <w:autoSpaceDN w:val="0"/>
        <w:adjustRightInd w:val="0"/>
        <w:spacing w:after="0" w:line="276" w:lineRule="auto"/>
        <w:jc w:val="both"/>
        <w:rPr>
          <w:rFonts w:cs="Times New Roman"/>
          <w:sz w:val="20"/>
          <w:szCs w:val="20"/>
        </w:rPr>
      </w:pPr>
      <w:r w:rsidRPr="00B20444">
        <w:rPr>
          <w:rFonts w:cs="Times New Roman"/>
          <w:sz w:val="20"/>
          <w:szCs w:val="20"/>
        </w:rPr>
        <w:t>*0323</w:t>
      </w:r>
      <w:r w:rsidRPr="00B20444">
        <w:rPr>
          <w:rFonts w:cs="Times New Roman"/>
          <w:sz w:val="20"/>
          <w:szCs w:val="20"/>
        </w:rPr>
        <w:tab/>
        <w:t>Glazba i mediji</w:t>
      </w:r>
      <w:r w:rsidRPr="00B20444">
        <w:rPr>
          <w:rFonts w:cs="Times New Roman"/>
          <w:sz w:val="20"/>
          <w:szCs w:val="20"/>
        </w:rPr>
        <w:tab/>
        <w:t>11.000,00 €</w:t>
      </w:r>
    </w:p>
    <w:p w:rsidR="00B20444" w:rsidRDefault="00B20444" w:rsidP="00E2776A">
      <w:pPr>
        <w:autoSpaceDE w:val="0"/>
        <w:autoSpaceDN w:val="0"/>
        <w:adjustRightInd w:val="0"/>
        <w:spacing w:line="276" w:lineRule="auto"/>
        <w:jc w:val="both"/>
        <w:rPr>
          <w:rFonts w:cs="Times New Roman"/>
          <w:iCs/>
          <w:noProof/>
          <w:color w:val="FF0000"/>
          <w:sz w:val="22"/>
        </w:rPr>
      </w:pPr>
    </w:p>
    <w:p w:rsidR="00E2776A" w:rsidRPr="00A278AA" w:rsidRDefault="005202BE" w:rsidP="00E2776A">
      <w:pPr>
        <w:autoSpaceDE w:val="0"/>
        <w:autoSpaceDN w:val="0"/>
        <w:adjustRightInd w:val="0"/>
        <w:spacing w:line="276" w:lineRule="auto"/>
        <w:jc w:val="both"/>
        <w:rPr>
          <w:rFonts w:cs="Times New Roman"/>
          <w:iCs/>
          <w:noProof/>
          <w:color w:val="FF0000"/>
          <w:sz w:val="22"/>
        </w:rPr>
      </w:pPr>
      <w:r w:rsidRPr="005202BE">
        <w:rPr>
          <w:noProof/>
        </w:rPr>
        <w:drawing>
          <wp:inline distT="0" distB="0" distL="0" distR="0">
            <wp:extent cx="3943350" cy="279971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2263" cy="2820243"/>
                    </a:xfrm>
                    <a:prstGeom prst="rect">
                      <a:avLst/>
                    </a:prstGeom>
                    <a:noFill/>
                    <a:ln>
                      <a:noFill/>
                    </a:ln>
                  </pic:spPr>
                </pic:pic>
              </a:graphicData>
            </a:graphic>
          </wp:inline>
        </w:drawing>
      </w:r>
    </w:p>
    <w:p w:rsidR="00E2776A" w:rsidRPr="00A278AA" w:rsidRDefault="00E2776A" w:rsidP="00E2776A">
      <w:pPr>
        <w:autoSpaceDE w:val="0"/>
        <w:autoSpaceDN w:val="0"/>
        <w:adjustRightInd w:val="0"/>
        <w:spacing w:line="276" w:lineRule="auto"/>
        <w:jc w:val="both"/>
        <w:rPr>
          <w:rFonts w:cs="Times New Roman"/>
          <w:iCs/>
          <w:noProof/>
          <w:color w:val="FF0000"/>
          <w:sz w:val="22"/>
        </w:rPr>
      </w:pPr>
    </w:p>
    <w:p w:rsidR="00E2776A" w:rsidRPr="00F728DA" w:rsidRDefault="00E2776A" w:rsidP="00E2776A">
      <w:pPr>
        <w:autoSpaceDE w:val="0"/>
        <w:autoSpaceDN w:val="0"/>
        <w:adjustRightInd w:val="0"/>
        <w:spacing w:line="276" w:lineRule="auto"/>
        <w:jc w:val="both"/>
        <w:rPr>
          <w:rFonts w:cs="Times New Roman"/>
          <w:b/>
          <w:iCs/>
          <w:noProof/>
          <w:sz w:val="22"/>
        </w:rPr>
      </w:pPr>
      <w:r w:rsidRPr="00F728DA">
        <w:rPr>
          <w:rFonts w:cs="Times New Roman"/>
          <w:b/>
          <w:iCs/>
          <w:noProof/>
          <w:sz w:val="22"/>
        </w:rPr>
        <w:t>TUĐA IMOVINA DOBIVENA NA KORIŠTENJE</w:t>
      </w:r>
    </w:p>
    <w:p w:rsidR="00E2776A" w:rsidRPr="00F728DA" w:rsidRDefault="00E2776A" w:rsidP="00E2776A">
      <w:pPr>
        <w:autoSpaceDE w:val="0"/>
        <w:autoSpaceDN w:val="0"/>
        <w:adjustRightInd w:val="0"/>
        <w:spacing w:line="276" w:lineRule="auto"/>
        <w:jc w:val="both"/>
        <w:rPr>
          <w:rFonts w:cs="Times New Roman"/>
          <w:iCs/>
          <w:noProof/>
          <w:sz w:val="22"/>
        </w:rPr>
      </w:pPr>
      <w:r w:rsidRPr="00F728DA">
        <w:rPr>
          <w:rFonts w:cs="Times New Roman"/>
          <w:iCs/>
          <w:noProof/>
          <w:sz w:val="22"/>
        </w:rPr>
        <w:t>U 2017. godini Sveučilište Sjever unijelo je u poslovne knjige financijske podatke vezane uz imovinu glede koje Sveučilište Sjever ostvaruje pravo korištenja na neodređeno vrijeme, odnosno trajno temeljem obavljanja djelatnosti visokog obrazovanja. Uvrštene su vrijednosti nekretnina dobivenih na korištenje od strane Grada Varaždina i Grada Koprivnice te vrijednosti namještaja i opreme koje se nalaze u zgradama SC Varaždina i SC Koprivnica. Osim navedenog u izvanbilančnu imovinu u 2020. godini unesene su i vrijednosti umjetnina (umjetničkih slika) koje se nalaze u SC Koprivnica, a u 2021. godini imovina koja je na raspolaganju Sveučilištu u Gradu Đurđevcu (provođenje studija Računarstva i informatike).</w:t>
      </w:r>
    </w:p>
    <w:p w:rsidR="00E2776A" w:rsidRPr="00F728DA" w:rsidRDefault="00E2776A" w:rsidP="00E2776A">
      <w:pPr>
        <w:autoSpaceDE w:val="0"/>
        <w:autoSpaceDN w:val="0"/>
        <w:adjustRightInd w:val="0"/>
        <w:spacing w:line="276" w:lineRule="auto"/>
        <w:jc w:val="both"/>
        <w:rPr>
          <w:rFonts w:cs="Times New Roman"/>
          <w:iCs/>
          <w:noProof/>
          <w:sz w:val="22"/>
        </w:rPr>
      </w:pPr>
      <w:r w:rsidRPr="00F728DA">
        <w:rPr>
          <w:rFonts w:cs="Times New Roman"/>
          <w:iCs/>
          <w:noProof/>
          <w:sz w:val="22"/>
        </w:rPr>
        <w:t>Pravne osnove korištenja nekretnina su sljedeće:</w:t>
      </w:r>
    </w:p>
    <w:p w:rsidR="00E2776A" w:rsidRPr="00F728DA" w:rsidRDefault="00E2776A" w:rsidP="00E2776A">
      <w:pPr>
        <w:pStyle w:val="Odlomakpopisa"/>
        <w:widowControl/>
        <w:numPr>
          <w:ilvl w:val="0"/>
          <w:numId w:val="2"/>
        </w:numPr>
        <w:autoSpaceDE w:val="0"/>
        <w:autoSpaceDN w:val="0"/>
        <w:adjustRightInd w:val="0"/>
        <w:spacing w:line="276" w:lineRule="auto"/>
        <w:ind w:left="357" w:hanging="357"/>
        <w:jc w:val="both"/>
        <w:rPr>
          <w:rFonts w:ascii="Times New Roman" w:hAnsi="Times New Roman" w:cs="Times New Roman"/>
          <w:iCs/>
          <w:noProof/>
        </w:rPr>
      </w:pPr>
      <w:r w:rsidRPr="00F728DA">
        <w:rPr>
          <w:rFonts w:ascii="Times New Roman" w:eastAsia="Times New Roman" w:hAnsi="Times New Roman" w:cs="Times New Roman"/>
          <w:lang w:eastAsia="hr-HR"/>
        </w:rPr>
        <w:t xml:space="preserve">Ugovor o davanju na korištenje zgrade br. 59 na Trgu dr. Žarka Dolinara b.b. u Koprivnici, Klasa: 406-01/15-01/16, </w:t>
      </w:r>
      <w:proofErr w:type="spellStart"/>
      <w:r w:rsidRPr="00F728DA">
        <w:rPr>
          <w:rFonts w:ascii="Times New Roman" w:eastAsia="Times New Roman" w:hAnsi="Times New Roman" w:cs="Times New Roman"/>
          <w:lang w:eastAsia="hr-HR"/>
        </w:rPr>
        <w:t>Urbroj</w:t>
      </w:r>
      <w:proofErr w:type="spellEnd"/>
      <w:r w:rsidRPr="00F728DA">
        <w:rPr>
          <w:rFonts w:ascii="Times New Roman" w:eastAsia="Times New Roman" w:hAnsi="Times New Roman" w:cs="Times New Roman"/>
          <w:lang w:eastAsia="hr-HR"/>
        </w:rPr>
        <w:t xml:space="preserve">: 2137-0336-15-01 od 20.10.2015., </w:t>
      </w:r>
    </w:p>
    <w:p w:rsidR="00E2776A" w:rsidRPr="00F728DA" w:rsidRDefault="00E2776A" w:rsidP="00E2776A">
      <w:pPr>
        <w:pStyle w:val="Odlomakpopisa"/>
        <w:numPr>
          <w:ilvl w:val="0"/>
          <w:numId w:val="2"/>
        </w:numPr>
        <w:spacing w:line="276" w:lineRule="auto"/>
        <w:ind w:left="357" w:hanging="357"/>
        <w:jc w:val="both"/>
        <w:rPr>
          <w:rFonts w:ascii="Times New Roman" w:hAnsi="Times New Roman" w:cs="Times New Roman"/>
        </w:rPr>
      </w:pPr>
      <w:r w:rsidRPr="00F728DA">
        <w:rPr>
          <w:rFonts w:ascii="Times New Roman" w:eastAsia="Times New Roman" w:hAnsi="Times New Roman" w:cs="Times New Roman"/>
          <w:lang w:eastAsia="hr-HR"/>
        </w:rPr>
        <w:t xml:space="preserve">Zaključak o davanju na korištenje zgrade na Trgu dr. Žarka Dolinara b.b. u Koprivnici, Klasa: 372-01/14-01/24, </w:t>
      </w:r>
      <w:proofErr w:type="spellStart"/>
      <w:r w:rsidRPr="00F728DA">
        <w:rPr>
          <w:rFonts w:ascii="Times New Roman" w:eastAsia="Times New Roman" w:hAnsi="Times New Roman" w:cs="Times New Roman"/>
          <w:lang w:eastAsia="hr-HR"/>
        </w:rPr>
        <w:t>Urbroj</w:t>
      </w:r>
      <w:proofErr w:type="spellEnd"/>
      <w:r w:rsidRPr="00F728DA">
        <w:rPr>
          <w:rFonts w:ascii="Times New Roman" w:eastAsia="Times New Roman" w:hAnsi="Times New Roman" w:cs="Times New Roman"/>
          <w:lang w:eastAsia="hr-HR"/>
        </w:rPr>
        <w:t xml:space="preserve">: 2137/01-07-02/1-15-1 od 19.10.2015., </w:t>
      </w:r>
    </w:p>
    <w:p w:rsidR="00E2776A" w:rsidRPr="00F728DA" w:rsidRDefault="00E2776A" w:rsidP="00E2776A">
      <w:pPr>
        <w:pStyle w:val="Odlomakpopisa"/>
        <w:numPr>
          <w:ilvl w:val="0"/>
          <w:numId w:val="2"/>
        </w:numPr>
        <w:spacing w:line="276" w:lineRule="auto"/>
        <w:ind w:left="357" w:hanging="357"/>
        <w:jc w:val="both"/>
        <w:rPr>
          <w:rFonts w:ascii="Times New Roman" w:hAnsi="Times New Roman" w:cs="Times New Roman"/>
        </w:rPr>
      </w:pPr>
      <w:r w:rsidRPr="00F728DA">
        <w:rPr>
          <w:rFonts w:ascii="Times New Roman" w:eastAsia="Times New Roman" w:hAnsi="Times New Roman" w:cs="Times New Roman"/>
          <w:lang w:eastAsia="hr-HR"/>
        </w:rPr>
        <w:t xml:space="preserve">Ugovor o korištenju zgrade na Trgu dr. Žarka Dolinara 4 u Koprivnici, Klasa: 406-01/15-01/5, </w:t>
      </w:r>
      <w:proofErr w:type="spellStart"/>
      <w:r w:rsidRPr="00F728DA">
        <w:rPr>
          <w:rFonts w:ascii="Times New Roman" w:eastAsia="Times New Roman" w:hAnsi="Times New Roman" w:cs="Times New Roman"/>
          <w:lang w:eastAsia="hr-HR"/>
        </w:rPr>
        <w:t>Urbroj</w:t>
      </w:r>
      <w:proofErr w:type="spellEnd"/>
      <w:r w:rsidRPr="00F728DA">
        <w:rPr>
          <w:rFonts w:ascii="Times New Roman" w:eastAsia="Times New Roman" w:hAnsi="Times New Roman" w:cs="Times New Roman"/>
          <w:lang w:eastAsia="hr-HR"/>
        </w:rPr>
        <w:t>: 2137-0336-15-01 od 01.02.2015.</w:t>
      </w:r>
    </w:p>
    <w:p w:rsidR="00E2776A" w:rsidRPr="00F728DA" w:rsidRDefault="00E2776A" w:rsidP="00E2776A">
      <w:pPr>
        <w:pStyle w:val="Odlomakpopisa"/>
        <w:numPr>
          <w:ilvl w:val="0"/>
          <w:numId w:val="2"/>
        </w:numPr>
        <w:spacing w:line="276" w:lineRule="auto"/>
        <w:ind w:left="357" w:hanging="357"/>
        <w:jc w:val="both"/>
        <w:rPr>
          <w:rFonts w:ascii="Times New Roman" w:hAnsi="Times New Roman" w:cs="Times New Roman"/>
        </w:rPr>
      </w:pPr>
      <w:r w:rsidRPr="00F728DA">
        <w:rPr>
          <w:rFonts w:ascii="Times New Roman" w:eastAsia="Times New Roman" w:hAnsi="Times New Roman" w:cs="Times New Roman"/>
          <w:lang w:eastAsia="hr-HR"/>
        </w:rPr>
        <w:t xml:space="preserve">Ugovor o davanju na korištenje zgrade u Varaždinu, </w:t>
      </w:r>
      <w:proofErr w:type="spellStart"/>
      <w:r w:rsidRPr="00F728DA">
        <w:rPr>
          <w:rFonts w:ascii="Times New Roman" w:eastAsia="Times New Roman" w:hAnsi="Times New Roman" w:cs="Times New Roman"/>
          <w:lang w:eastAsia="hr-HR"/>
        </w:rPr>
        <w:t>Križanićeva</w:t>
      </w:r>
      <w:proofErr w:type="spellEnd"/>
      <w:r w:rsidRPr="00F728DA">
        <w:rPr>
          <w:rFonts w:ascii="Times New Roman" w:eastAsia="Times New Roman" w:hAnsi="Times New Roman" w:cs="Times New Roman"/>
          <w:lang w:eastAsia="hr-HR"/>
        </w:rPr>
        <w:t xml:space="preserve"> ulica 31/B, Klasa: 030-07/14-01/6, </w:t>
      </w:r>
      <w:proofErr w:type="spellStart"/>
      <w:r w:rsidRPr="00F728DA">
        <w:rPr>
          <w:rFonts w:ascii="Times New Roman" w:eastAsia="Times New Roman" w:hAnsi="Times New Roman" w:cs="Times New Roman"/>
          <w:lang w:eastAsia="hr-HR"/>
        </w:rPr>
        <w:t>Urbroj</w:t>
      </w:r>
      <w:proofErr w:type="spellEnd"/>
      <w:r w:rsidRPr="00F728DA">
        <w:rPr>
          <w:rFonts w:ascii="Times New Roman" w:eastAsia="Times New Roman" w:hAnsi="Times New Roman" w:cs="Times New Roman"/>
          <w:lang w:eastAsia="hr-HR"/>
        </w:rPr>
        <w:t xml:space="preserve"> 2186-0336-14-01-1 od 27.06.2014., </w:t>
      </w:r>
    </w:p>
    <w:p w:rsidR="00E2776A" w:rsidRPr="00F728DA" w:rsidRDefault="00E2776A" w:rsidP="00F728DA">
      <w:pPr>
        <w:pStyle w:val="Odlomakpopisa"/>
        <w:numPr>
          <w:ilvl w:val="0"/>
          <w:numId w:val="2"/>
        </w:numPr>
        <w:spacing w:line="276" w:lineRule="auto"/>
        <w:ind w:left="357" w:hanging="357"/>
        <w:jc w:val="both"/>
        <w:rPr>
          <w:rFonts w:ascii="Times New Roman" w:hAnsi="Times New Roman" w:cs="Times New Roman"/>
        </w:rPr>
      </w:pPr>
      <w:r w:rsidRPr="00F728DA">
        <w:rPr>
          <w:rFonts w:ascii="Times New Roman" w:eastAsia="Times New Roman" w:hAnsi="Times New Roman" w:cs="Times New Roman"/>
          <w:lang w:eastAsia="hr-HR"/>
        </w:rPr>
        <w:t xml:space="preserve">Ugovor o davanju na korištenje nekretnine u Ulici 104. brigade u Varaždinu, Klasa: 602-04/13-01/4, </w:t>
      </w:r>
      <w:proofErr w:type="spellStart"/>
      <w:r w:rsidRPr="00F728DA">
        <w:rPr>
          <w:rFonts w:ascii="Times New Roman" w:eastAsia="Times New Roman" w:hAnsi="Times New Roman" w:cs="Times New Roman"/>
          <w:lang w:eastAsia="hr-HR"/>
        </w:rPr>
        <w:t>Urbroj</w:t>
      </w:r>
      <w:proofErr w:type="spellEnd"/>
      <w:r w:rsidRPr="00F728DA">
        <w:rPr>
          <w:rFonts w:ascii="Times New Roman" w:eastAsia="Times New Roman" w:hAnsi="Times New Roman" w:cs="Times New Roman"/>
          <w:lang w:eastAsia="hr-HR"/>
        </w:rPr>
        <w:t xml:space="preserve"> 2186/01-01-13-12 od 25.04.2013., </w:t>
      </w:r>
    </w:p>
    <w:p w:rsidR="00E2776A" w:rsidRPr="00F728DA" w:rsidRDefault="00E2776A" w:rsidP="00E2776A">
      <w:pPr>
        <w:pStyle w:val="Odlomakpopisa"/>
        <w:numPr>
          <w:ilvl w:val="0"/>
          <w:numId w:val="2"/>
        </w:numPr>
        <w:spacing w:line="276" w:lineRule="auto"/>
        <w:ind w:left="357" w:hanging="357"/>
        <w:jc w:val="both"/>
        <w:rPr>
          <w:rFonts w:ascii="Times New Roman" w:hAnsi="Times New Roman" w:cs="Times New Roman"/>
        </w:rPr>
      </w:pPr>
      <w:r w:rsidRPr="00F728DA">
        <w:rPr>
          <w:rFonts w:ascii="Times New Roman" w:hAnsi="Times New Roman" w:cs="Times New Roman"/>
        </w:rPr>
        <w:t>Sporazum o uređenju međusobnih prava i obveza vezano za integraciju Veleučilišta u Varaždinu i Medijskog sveučilišta u Koprivnici, Klasa Veleučilišta U Varaždinu: 602-04/13-01-6, Klasa Grada Varaždina: 602-04/13-01-4.</w:t>
      </w:r>
    </w:p>
    <w:p w:rsidR="00E2776A" w:rsidRPr="00F728DA" w:rsidRDefault="00E2776A" w:rsidP="00E2776A">
      <w:pPr>
        <w:spacing w:line="276" w:lineRule="auto"/>
        <w:jc w:val="both"/>
        <w:rPr>
          <w:rFonts w:cs="Times New Roman"/>
          <w:sz w:val="22"/>
        </w:rPr>
      </w:pPr>
      <w:r w:rsidRPr="00F728DA">
        <w:rPr>
          <w:rFonts w:cs="Times New Roman"/>
          <w:sz w:val="22"/>
        </w:rPr>
        <w:lastRenderedPageBreak/>
        <w:t xml:space="preserve">Grad Koprivnica dostavio je </w:t>
      </w:r>
      <w:proofErr w:type="spellStart"/>
      <w:r w:rsidRPr="00F728DA">
        <w:rPr>
          <w:rFonts w:cs="Times New Roman"/>
          <w:sz w:val="22"/>
        </w:rPr>
        <w:t>izlistak</w:t>
      </w:r>
      <w:proofErr w:type="spellEnd"/>
      <w:r w:rsidRPr="00F728DA">
        <w:rPr>
          <w:rFonts w:cs="Times New Roman"/>
          <w:sz w:val="22"/>
        </w:rPr>
        <w:t xml:space="preserve"> stanja </w:t>
      </w:r>
      <w:proofErr w:type="spellStart"/>
      <w:r w:rsidRPr="00F728DA">
        <w:rPr>
          <w:rFonts w:cs="Times New Roman"/>
          <w:sz w:val="22"/>
        </w:rPr>
        <w:t>izvanbilančne</w:t>
      </w:r>
      <w:proofErr w:type="spellEnd"/>
      <w:r w:rsidRPr="00F728DA">
        <w:rPr>
          <w:rFonts w:cs="Times New Roman"/>
          <w:sz w:val="22"/>
        </w:rPr>
        <w:t xml:space="preserve"> imovine na dan 31.12.2023. godine, izmjene u vrijednostima </w:t>
      </w:r>
      <w:proofErr w:type="spellStart"/>
      <w:r w:rsidRPr="00F728DA">
        <w:rPr>
          <w:rFonts w:cs="Times New Roman"/>
          <w:sz w:val="22"/>
        </w:rPr>
        <w:t>izvanbilančne</w:t>
      </w:r>
      <w:proofErr w:type="spellEnd"/>
      <w:r w:rsidRPr="00F728DA">
        <w:rPr>
          <w:rFonts w:cs="Times New Roman"/>
          <w:sz w:val="22"/>
        </w:rPr>
        <w:t xml:space="preserve"> imovine uvrštene su u glavnu knjigu, dok je dostava od Grada Varaždina do datuma izrade izvještaja izostala (iako smo zatražili dostavu podatak, u protekle četiri godine podaci s njihove strane se ne dostavljaju). Za dvije zgrade u Studentskom centru Koprivnica za koje vrijednosti ne postoje ni u poslovnim knjigama Grada Koprivnice, Povjerenstvo je procijenilo da se obje zgrade do izlaska na teren ovlaštenog sudskog procjenitelja, u </w:t>
      </w:r>
      <w:proofErr w:type="spellStart"/>
      <w:r w:rsidRPr="00F728DA">
        <w:rPr>
          <w:rFonts w:cs="Times New Roman"/>
          <w:sz w:val="22"/>
        </w:rPr>
        <w:t>izvanbilančnu</w:t>
      </w:r>
      <w:proofErr w:type="spellEnd"/>
      <w:r w:rsidRPr="00F728DA">
        <w:rPr>
          <w:rFonts w:cs="Times New Roman"/>
          <w:sz w:val="22"/>
        </w:rPr>
        <w:t xml:space="preserve"> imovinu Sveučilišta Sjever </w:t>
      </w:r>
      <w:proofErr w:type="spellStart"/>
      <w:r w:rsidRPr="00F728DA">
        <w:rPr>
          <w:rFonts w:cs="Times New Roman"/>
          <w:sz w:val="22"/>
        </w:rPr>
        <w:t>zaknjiže</w:t>
      </w:r>
      <w:proofErr w:type="spellEnd"/>
      <w:r w:rsidRPr="00F728DA">
        <w:rPr>
          <w:rFonts w:cs="Times New Roman"/>
          <w:sz w:val="22"/>
        </w:rPr>
        <w:t xml:space="preserve"> sa vrijednošću 1,00 HRK (0,13 EUR). Za </w:t>
      </w:r>
      <w:proofErr w:type="spellStart"/>
      <w:r w:rsidRPr="00F728DA">
        <w:rPr>
          <w:rFonts w:cs="Times New Roman"/>
          <w:sz w:val="22"/>
        </w:rPr>
        <w:t>izvanbilančnu</w:t>
      </w:r>
      <w:proofErr w:type="spellEnd"/>
      <w:r w:rsidRPr="00F728DA">
        <w:rPr>
          <w:rFonts w:cs="Times New Roman"/>
          <w:sz w:val="22"/>
        </w:rPr>
        <w:t xml:space="preserve"> imovinu za koju Grad Varaždin već nekoliko godina ne dostavlja relevantne podatke, Sveučilište je izvršilo umanjenje vrijednosti prema postotku otpisa koji je korišten u 2017. godini te tako dobivene vrijednosti uvrstilo u </w:t>
      </w:r>
      <w:proofErr w:type="spellStart"/>
      <w:r w:rsidRPr="00F728DA">
        <w:rPr>
          <w:rFonts w:cs="Times New Roman"/>
          <w:sz w:val="22"/>
        </w:rPr>
        <w:t>izvanbilančnu</w:t>
      </w:r>
      <w:proofErr w:type="spellEnd"/>
      <w:r w:rsidRPr="00F728DA">
        <w:rPr>
          <w:rFonts w:cs="Times New Roman"/>
          <w:sz w:val="22"/>
        </w:rPr>
        <w:t xml:space="preserve"> imovinu.</w:t>
      </w:r>
    </w:p>
    <w:p w:rsidR="00E2776A" w:rsidRDefault="00E2776A" w:rsidP="00E2776A">
      <w:pPr>
        <w:spacing w:line="276" w:lineRule="auto"/>
        <w:jc w:val="both"/>
        <w:rPr>
          <w:rFonts w:cs="Times New Roman"/>
          <w:sz w:val="22"/>
        </w:rPr>
      </w:pPr>
      <w:r w:rsidRPr="00F728DA">
        <w:rPr>
          <w:rFonts w:cs="Times New Roman"/>
          <w:sz w:val="22"/>
        </w:rPr>
        <w:t xml:space="preserve">Temeljem Zapisnika povjerenstva za provođenje interne procjene vrijednosti dijela imovine dane na korištenje Sveučilištu Sjever od 01.09.2020. godine (KLASA: 406-06/20-01/02, URBROJ: 2186-0336-08-20-2) u </w:t>
      </w:r>
      <w:proofErr w:type="spellStart"/>
      <w:r w:rsidRPr="00F728DA">
        <w:rPr>
          <w:rFonts w:cs="Times New Roman"/>
          <w:sz w:val="22"/>
        </w:rPr>
        <w:t>izvanbilančnu</w:t>
      </w:r>
      <w:proofErr w:type="spellEnd"/>
      <w:r w:rsidRPr="00F728DA">
        <w:rPr>
          <w:rFonts w:cs="Times New Roman"/>
          <w:sz w:val="22"/>
        </w:rPr>
        <w:t xml:space="preserve"> imovinu Sveučilišta Sjever unesene su vrijednosti umjetničkih djela (slika) umjetnice Sunčanice </w:t>
      </w:r>
      <w:proofErr w:type="spellStart"/>
      <w:r w:rsidRPr="00F728DA">
        <w:rPr>
          <w:rFonts w:cs="Times New Roman"/>
          <w:sz w:val="22"/>
        </w:rPr>
        <w:t>Tuk</w:t>
      </w:r>
      <w:proofErr w:type="spellEnd"/>
      <w:r w:rsidRPr="00F728DA">
        <w:rPr>
          <w:rFonts w:cs="Times New Roman"/>
          <w:sz w:val="22"/>
        </w:rPr>
        <w:t xml:space="preserve"> koje su izložene u SC Varaždinu i SC Koprivnici. Procijenjena vrijednost slika iznosi 468.300 EUR.</w:t>
      </w:r>
      <w:r w:rsidR="00F728DA">
        <w:rPr>
          <w:rFonts w:cs="Times New Roman"/>
          <w:sz w:val="22"/>
        </w:rPr>
        <w:t xml:space="preserve"> </w:t>
      </w:r>
      <w:r w:rsidRPr="00F728DA">
        <w:rPr>
          <w:rFonts w:cs="Times New Roman"/>
          <w:sz w:val="22"/>
        </w:rPr>
        <w:t xml:space="preserve">U 2023. godini Sveučilište Sjever koristi i poslovne prostore u Gradu Đurđevcu radi provođenja studija Računarstva i informatike. U tu svrhu u </w:t>
      </w:r>
      <w:proofErr w:type="spellStart"/>
      <w:r w:rsidRPr="00F728DA">
        <w:rPr>
          <w:rFonts w:cs="Times New Roman"/>
          <w:sz w:val="22"/>
        </w:rPr>
        <w:t>izvanbilančnu</w:t>
      </w:r>
      <w:proofErr w:type="spellEnd"/>
      <w:r w:rsidRPr="00F728DA">
        <w:rPr>
          <w:rFonts w:cs="Times New Roman"/>
          <w:sz w:val="22"/>
        </w:rPr>
        <w:t xml:space="preserve"> imovinu Sveučilišta unesena je vrijednost opreme i namješta koji je na raspolaganju Sveučilištu.</w:t>
      </w:r>
      <w:r w:rsidR="00F728DA">
        <w:rPr>
          <w:rFonts w:cs="Times New Roman"/>
          <w:sz w:val="22"/>
        </w:rPr>
        <w:t xml:space="preserve"> </w:t>
      </w:r>
      <w:r w:rsidRPr="00F728DA">
        <w:rPr>
          <w:rFonts w:cs="Times New Roman"/>
          <w:sz w:val="22"/>
        </w:rPr>
        <w:t xml:space="preserve">Sveučilište Sjever u travnju 2020. godine donosi Uputu o upravljanju i raspolaganju nekretninama u vlasništvu i posjedu Sveučilišta Sjever (KLASA: 940-06/20-01/01, URBROJ: 2186-0336-01-20-1). Uz navedeno stručne službe Sveučilišta vode i redovito ažuriraju Registar imovine i </w:t>
      </w:r>
      <w:proofErr w:type="spellStart"/>
      <w:r w:rsidRPr="00F728DA">
        <w:rPr>
          <w:rFonts w:cs="Times New Roman"/>
          <w:sz w:val="22"/>
        </w:rPr>
        <w:t>izvanbilančne</w:t>
      </w:r>
      <w:proofErr w:type="spellEnd"/>
      <w:r w:rsidRPr="00F728DA">
        <w:rPr>
          <w:rFonts w:cs="Times New Roman"/>
          <w:sz w:val="22"/>
        </w:rPr>
        <w:t xml:space="preserve"> imovine.</w:t>
      </w:r>
    </w:p>
    <w:p w:rsidR="00007752" w:rsidRPr="00007752" w:rsidRDefault="00007752" w:rsidP="00E2776A">
      <w:pPr>
        <w:spacing w:line="276" w:lineRule="auto"/>
        <w:jc w:val="both"/>
        <w:rPr>
          <w:rFonts w:cs="Times New Roman"/>
          <w:sz w:val="22"/>
        </w:rPr>
      </w:pPr>
    </w:p>
    <w:p w:rsidR="00E2776A" w:rsidRDefault="00E2776A" w:rsidP="00007752">
      <w:pPr>
        <w:autoSpaceDE w:val="0"/>
        <w:autoSpaceDN w:val="0"/>
        <w:adjustRightInd w:val="0"/>
        <w:spacing w:after="0" w:line="276" w:lineRule="auto"/>
        <w:jc w:val="both"/>
        <w:rPr>
          <w:rFonts w:cs="Times New Roman"/>
          <w:b/>
          <w:iCs/>
          <w:noProof/>
          <w:sz w:val="22"/>
        </w:rPr>
      </w:pPr>
      <w:r w:rsidRPr="00BC2123">
        <w:rPr>
          <w:rFonts w:cs="Times New Roman"/>
          <w:b/>
          <w:iCs/>
          <w:noProof/>
          <w:sz w:val="22"/>
        </w:rPr>
        <w:t>POTENCIJALNI SUDSKI SPOROVI</w:t>
      </w:r>
    </w:p>
    <w:p w:rsidR="00EE19A1" w:rsidRPr="00BC2123" w:rsidRDefault="00EE19A1" w:rsidP="00007752">
      <w:pPr>
        <w:autoSpaceDE w:val="0"/>
        <w:autoSpaceDN w:val="0"/>
        <w:adjustRightInd w:val="0"/>
        <w:spacing w:after="0" w:line="276" w:lineRule="auto"/>
        <w:jc w:val="both"/>
        <w:rPr>
          <w:rFonts w:cs="Times New Roman"/>
          <w:b/>
          <w:iCs/>
          <w:noProof/>
          <w:sz w:val="22"/>
        </w:rPr>
      </w:pPr>
      <w:r>
        <w:rPr>
          <w:rFonts w:cs="Times New Roman"/>
          <w:b/>
          <w:iCs/>
          <w:noProof/>
          <w:sz w:val="22"/>
        </w:rPr>
        <w:t>Prema studentima</w:t>
      </w:r>
    </w:p>
    <w:p w:rsidR="00007752" w:rsidRPr="00007752" w:rsidRDefault="00007752" w:rsidP="00007752">
      <w:pPr>
        <w:spacing w:after="0" w:line="276" w:lineRule="auto"/>
        <w:contextualSpacing/>
        <w:jc w:val="both"/>
        <w:rPr>
          <w:rFonts w:eastAsia="Cambria" w:cs="Times New Roman"/>
          <w:sz w:val="22"/>
          <w:lang w:val="en-GB" w:eastAsia="en-US"/>
        </w:rPr>
      </w:pPr>
      <w:r w:rsidRPr="00007752">
        <w:rPr>
          <w:rFonts w:eastAsia="Cambria" w:cs="Times New Roman"/>
          <w:sz w:val="22"/>
          <w:lang w:eastAsia="en-US"/>
        </w:rPr>
        <w:t xml:space="preserve">Tijekom 2025. godine, </w:t>
      </w:r>
      <w:proofErr w:type="spellStart"/>
      <w:r w:rsidRPr="00007752">
        <w:rPr>
          <w:rFonts w:eastAsia="Cambria" w:cs="Times New Roman"/>
          <w:sz w:val="22"/>
          <w:lang w:val="en-GB" w:eastAsia="en-US"/>
        </w:rPr>
        <w:t>Služba</w:t>
      </w:r>
      <w:proofErr w:type="spellEnd"/>
      <w:r w:rsidRPr="00007752">
        <w:rPr>
          <w:rFonts w:eastAsia="Cambria" w:cs="Times New Roman"/>
          <w:sz w:val="22"/>
          <w:lang w:val="en-GB" w:eastAsia="en-US"/>
        </w:rPr>
        <w:t xml:space="preserve"> za </w:t>
      </w:r>
      <w:proofErr w:type="spellStart"/>
      <w:r w:rsidRPr="00007752">
        <w:rPr>
          <w:rFonts w:eastAsia="Cambria" w:cs="Times New Roman"/>
          <w:sz w:val="22"/>
          <w:lang w:val="en-GB" w:eastAsia="en-US"/>
        </w:rPr>
        <w:t>strateško</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planiranje</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investicije</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razvoj</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i</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upravljanje</w:t>
      </w:r>
      <w:proofErr w:type="spellEnd"/>
      <w:r w:rsidRPr="00007752">
        <w:rPr>
          <w:rFonts w:eastAsia="Cambria" w:cs="Times New Roman"/>
          <w:sz w:val="22"/>
          <w:lang w:val="en-GB" w:eastAsia="en-US"/>
        </w:rPr>
        <w:t xml:space="preserve"> </w:t>
      </w:r>
      <w:proofErr w:type="spellStart"/>
      <w:r w:rsidRPr="00007752">
        <w:rPr>
          <w:rFonts w:eastAsia="Cambria" w:cs="Times New Roman"/>
          <w:sz w:val="22"/>
          <w:lang w:val="en-GB" w:eastAsia="en-US"/>
        </w:rPr>
        <w:t>imovinom</w:t>
      </w:r>
      <w:proofErr w:type="spellEnd"/>
      <w:r w:rsidRPr="00007752">
        <w:rPr>
          <w:rFonts w:eastAsia="Cambria" w:cs="Times New Roman"/>
          <w:sz w:val="22"/>
          <w:lang w:val="en-GB" w:eastAsia="en-US"/>
        </w:rPr>
        <w:t xml:space="preserve"> </w:t>
      </w:r>
      <w:r w:rsidRPr="00007752">
        <w:rPr>
          <w:rFonts w:eastAsia="Cambria" w:cs="Times New Roman"/>
          <w:sz w:val="22"/>
          <w:lang w:eastAsia="en-US"/>
        </w:rPr>
        <w:t>u suradnji s nadležnom službom za financije Sveučilišta Sjever provela je pokretanje postupaka naplate potraživanja unutar zakonskih rokova.</w:t>
      </w:r>
    </w:p>
    <w:p w:rsidR="00007752" w:rsidRPr="00007752" w:rsidRDefault="00007752" w:rsidP="00007752">
      <w:pPr>
        <w:spacing w:after="0" w:line="276" w:lineRule="auto"/>
        <w:contextualSpacing/>
        <w:jc w:val="both"/>
        <w:rPr>
          <w:rFonts w:eastAsia="Cambria" w:cs="Times New Roman"/>
          <w:sz w:val="22"/>
          <w:lang w:eastAsia="en-US"/>
        </w:rPr>
      </w:pPr>
      <w:r w:rsidRPr="00007752">
        <w:rPr>
          <w:rFonts w:eastAsia="Cambria" w:cs="Times New Roman"/>
          <w:sz w:val="22"/>
          <w:lang w:eastAsia="en-US"/>
        </w:rPr>
        <w:t xml:space="preserve">Postupci su pokrenuti putem FINE, kao i putem sustava E-ovrha i to na način da se potraživanja prema studentima naplaćuju prije nastupa zakonskih rokova (opći </w:t>
      </w:r>
      <w:proofErr w:type="spellStart"/>
      <w:r w:rsidRPr="00007752">
        <w:rPr>
          <w:rFonts w:eastAsia="Cambria" w:cs="Times New Roman"/>
          <w:sz w:val="22"/>
          <w:lang w:eastAsia="en-US"/>
        </w:rPr>
        <w:t>zastarni</w:t>
      </w:r>
      <w:proofErr w:type="spellEnd"/>
      <w:r w:rsidRPr="00007752">
        <w:rPr>
          <w:rFonts w:eastAsia="Cambria" w:cs="Times New Roman"/>
          <w:sz w:val="22"/>
          <w:lang w:eastAsia="en-US"/>
        </w:rPr>
        <w:t xml:space="preserve"> rok od 5 godina) i to temeljem periodičnih slanja Poziva na plaćanje (opomena), pokretanjem postupaka prisilne naplate potraživanja – javnobilježnička ili sudska ovrha, te aktivacijom instrumenata osiguranja plaćanja – zadužnica i bjanko zadužnica. Potraživanja prema studentima pokrivena su instrumentima osiguranja plaćanja u vidu zadužnica i bjanko zadužnica, uz aktivaciju jamca platca. Naplata potraživanja od gospodarskih subjekata i trećih osoba osigurava se ugovorima o pristupanju duga.</w:t>
      </w:r>
    </w:p>
    <w:p w:rsidR="00007752" w:rsidRPr="00187C5C" w:rsidRDefault="00007752" w:rsidP="00007752">
      <w:pPr>
        <w:spacing w:after="0" w:line="276" w:lineRule="auto"/>
        <w:contextualSpacing/>
        <w:jc w:val="both"/>
        <w:rPr>
          <w:rFonts w:eastAsia="Cambria" w:cs="Times New Roman"/>
          <w:sz w:val="22"/>
          <w:lang w:eastAsia="en-US"/>
        </w:rPr>
      </w:pPr>
      <w:r w:rsidRPr="00007752">
        <w:rPr>
          <w:rFonts w:eastAsia="Cambria" w:cs="Times New Roman"/>
          <w:sz w:val="22"/>
          <w:lang w:eastAsia="en-US"/>
        </w:rPr>
        <w:t>Tijekom 2025. godine nisu provedeni postupci otpisa potraživanja, ali su u pripremi za naredno razdoblje.</w:t>
      </w:r>
    </w:p>
    <w:p w:rsidR="00007752" w:rsidRPr="00007752" w:rsidRDefault="00007752" w:rsidP="00007752">
      <w:pPr>
        <w:spacing w:after="0" w:line="276" w:lineRule="auto"/>
        <w:jc w:val="both"/>
        <w:rPr>
          <w:rFonts w:eastAsia="Cambria" w:cs="Times New Roman"/>
          <w:b/>
          <w:sz w:val="22"/>
          <w:lang w:eastAsia="en-US"/>
        </w:rPr>
      </w:pPr>
      <w:r w:rsidRPr="00007752">
        <w:rPr>
          <w:rFonts w:eastAsia="Cambria" w:cs="Times New Roman"/>
          <w:b/>
          <w:sz w:val="22"/>
          <w:lang w:eastAsia="en-US"/>
        </w:rPr>
        <w:t xml:space="preserve">OVRŠNI POSTUPCI PRISILNE NAPLATE POTRAŽIVANJA Na dan </w:t>
      </w:r>
      <w:r>
        <w:rPr>
          <w:rFonts w:eastAsia="Cambria" w:cs="Times New Roman"/>
          <w:b/>
          <w:sz w:val="22"/>
          <w:lang w:eastAsia="en-US"/>
        </w:rPr>
        <w:t>31</w:t>
      </w:r>
      <w:r w:rsidRPr="00007752">
        <w:rPr>
          <w:rFonts w:eastAsia="Cambria" w:cs="Times New Roman"/>
          <w:b/>
          <w:sz w:val="22"/>
          <w:lang w:eastAsia="en-US"/>
        </w:rPr>
        <w:t xml:space="preserve">. </w:t>
      </w:r>
      <w:r>
        <w:rPr>
          <w:rFonts w:eastAsia="Cambria" w:cs="Times New Roman"/>
          <w:b/>
          <w:sz w:val="22"/>
          <w:lang w:eastAsia="en-US"/>
        </w:rPr>
        <w:t>prosinca</w:t>
      </w:r>
      <w:r w:rsidRPr="00007752">
        <w:rPr>
          <w:rFonts w:eastAsia="Cambria" w:cs="Times New Roman"/>
          <w:b/>
          <w:sz w:val="22"/>
          <w:lang w:eastAsia="en-US"/>
        </w:rPr>
        <w:t xml:space="preserve"> 2025. godine</w:t>
      </w:r>
    </w:p>
    <w:p w:rsidR="00007752" w:rsidRPr="00007752" w:rsidRDefault="00007752" w:rsidP="00007752">
      <w:pPr>
        <w:pStyle w:val="Odlomakpopisa"/>
        <w:widowControl/>
        <w:numPr>
          <w:ilvl w:val="0"/>
          <w:numId w:val="6"/>
        </w:numPr>
        <w:spacing w:line="276" w:lineRule="auto"/>
        <w:jc w:val="both"/>
        <w:rPr>
          <w:rFonts w:ascii="Times New Roman" w:eastAsia="Cambria" w:hAnsi="Times New Roman" w:cs="Times New Roman"/>
        </w:rPr>
      </w:pPr>
      <w:r w:rsidRPr="00007752">
        <w:rPr>
          <w:rFonts w:ascii="Times New Roman" w:eastAsia="Cambria" w:hAnsi="Times New Roman" w:cs="Times New Roman"/>
        </w:rPr>
        <w:t xml:space="preserve">15 predmeta za </w:t>
      </w:r>
      <w:proofErr w:type="spellStart"/>
      <w:r w:rsidRPr="00007752">
        <w:rPr>
          <w:rFonts w:ascii="Times New Roman" w:eastAsia="Cambria" w:hAnsi="Times New Roman" w:cs="Times New Roman"/>
        </w:rPr>
        <w:t>utuženja</w:t>
      </w:r>
      <w:proofErr w:type="spellEnd"/>
      <w:r w:rsidRPr="00007752">
        <w:rPr>
          <w:rFonts w:ascii="Times New Roman" w:eastAsia="Cambria" w:hAnsi="Times New Roman" w:cs="Times New Roman"/>
        </w:rPr>
        <w:t xml:space="preserve"> u razdoblju od 2011. do 2018. godine;</w:t>
      </w:r>
    </w:p>
    <w:p w:rsidR="00007752" w:rsidRPr="00007752" w:rsidRDefault="00007752" w:rsidP="00007752">
      <w:pPr>
        <w:pStyle w:val="Odlomakpopisa"/>
        <w:widowControl/>
        <w:numPr>
          <w:ilvl w:val="0"/>
          <w:numId w:val="6"/>
        </w:numPr>
        <w:spacing w:line="276" w:lineRule="auto"/>
        <w:jc w:val="both"/>
        <w:rPr>
          <w:rFonts w:ascii="Times New Roman" w:eastAsia="Cambria" w:hAnsi="Times New Roman" w:cs="Times New Roman"/>
        </w:rPr>
      </w:pPr>
      <w:r w:rsidRPr="00007752">
        <w:rPr>
          <w:rFonts w:ascii="Times New Roman" w:eastAsia="Cambria" w:hAnsi="Times New Roman" w:cs="Times New Roman"/>
        </w:rPr>
        <w:t xml:space="preserve">8 predmeta za </w:t>
      </w:r>
      <w:proofErr w:type="spellStart"/>
      <w:r w:rsidRPr="00007752">
        <w:rPr>
          <w:rFonts w:ascii="Times New Roman" w:eastAsia="Cambria" w:hAnsi="Times New Roman" w:cs="Times New Roman"/>
        </w:rPr>
        <w:t>utuženja</w:t>
      </w:r>
      <w:proofErr w:type="spellEnd"/>
      <w:r w:rsidRPr="00007752">
        <w:rPr>
          <w:rFonts w:ascii="Times New Roman" w:eastAsia="Cambria" w:hAnsi="Times New Roman" w:cs="Times New Roman"/>
        </w:rPr>
        <w:t xml:space="preserve"> od 2019. do 3</w:t>
      </w:r>
      <w:r>
        <w:rPr>
          <w:rFonts w:ascii="Times New Roman" w:eastAsia="Cambria" w:hAnsi="Times New Roman" w:cs="Times New Roman"/>
        </w:rPr>
        <w:t>1</w:t>
      </w:r>
      <w:r w:rsidRPr="00007752">
        <w:rPr>
          <w:rFonts w:ascii="Times New Roman" w:eastAsia="Cambria" w:hAnsi="Times New Roman" w:cs="Times New Roman"/>
        </w:rPr>
        <w:t xml:space="preserve">. </w:t>
      </w:r>
      <w:r>
        <w:rPr>
          <w:rFonts w:ascii="Times New Roman" w:eastAsia="Cambria" w:hAnsi="Times New Roman" w:cs="Times New Roman"/>
        </w:rPr>
        <w:t>prosinca</w:t>
      </w:r>
      <w:r w:rsidRPr="00007752">
        <w:rPr>
          <w:rFonts w:ascii="Times New Roman" w:eastAsia="Cambria" w:hAnsi="Times New Roman" w:cs="Times New Roman"/>
        </w:rPr>
        <w:t xml:space="preserve"> 2025. godine.</w:t>
      </w:r>
    </w:p>
    <w:p w:rsidR="00E2776A" w:rsidRPr="009F3C0D" w:rsidRDefault="00007752" w:rsidP="009F3C0D">
      <w:pPr>
        <w:spacing w:after="0" w:line="276" w:lineRule="auto"/>
        <w:jc w:val="both"/>
        <w:rPr>
          <w:rFonts w:eastAsia="Cambria" w:cs="Times New Roman"/>
          <w:sz w:val="22"/>
          <w:lang w:eastAsia="en-US"/>
        </w:rPr>
      </w:pPr>
      <w:r w:rsidRPr="00007752">
        <w:rPr>
          <w:rFonts w:eastAsia="Cambria" w:cs="Times New Roman"/>
          <w:sz w:val="22"/>
          <w:lang w:eastAsia="en-US"/>
        </w:rPr>
        <w:t>Svi predmeti su aktivni te su u tijeku prisilne naplate FINE, odnosno dugovanja su u redoslijedu naplate potraživanja kod FINE te nema obustavljenih predmeta.</w:t>
      </w:r>
    </w:p>
    <w:p w:rsidR="00E2776A" w:rsidRDefault="00E2776A" w:rsidP="00E2776A">
      <w:pPr>
        <w:autoSpaceDE w:val="0"/>
        <w:autoSpaceDN w:val="0"/>
        <w:adjustRightInd w:val="0"/>
        <w:spacing w:line="276" w:lineRule="auto"/>
        <w:jc w:val="both"/>
        <w:rPr>
          <w:rFonts w:cs="Times New Roman"/>
          <w:b/>
          <w:iCs/>
          <w:noProof/>
          <w:color w:val="FF0000"/>
          <w:sz w:val="22"/>
        </w:rPr>
      </w:pPr>
    </w:p>
    <w:p w:rsidR="00EE19A1" w:rsidRPr="00EE19A1" w:rsidRDefault="00EE19A1" w:rsidP="00EE19A1">
      <w:pPr>
        <w:autoSpaceDE w:val="0"/>
        <w:autoSpaceDN w:val="0"/>
        <w:adjustRightInd w:val="0"/>
        <w:spacing w:after="0" w:line="276" w:lineRule="auto"/>
        <w:jc w:val="both"/>
        <w:rPr>
          <w:rFonts w:cs="Times New Roman"/>
          <w:b/>
          <w:iCs/>
          <w:noProof/>
          <w:sz w:val="22"/>
        </w:rPr>
      </w:pPr>
      <w:r w:rsidRPr="00EE19A1">
        <w:rPr>
          <w:rFonts w:cs="Times New Roman"/>
          <w:b/>
          <w:iCs/>
          <w:noProof/>
          <w:sz w:val="22"/>
        </w:rPr>
        <w:t>Prema gospodarskim subjektima</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Tužitelj: Sveučilište Sjever</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Tuženik: BBR Adria d.o.o.</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Radi: 63.619,13 Eura</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 xml:space="preserve">Spor se vodi radi naplate potraživanja temeljem Sporazuma od dana 28. lipnja 2022. godine, kojim se tuženik obvezao isplatiti iznos u visini 15% troškova javne nabave označenih u okviru projekta kao </w:t>
      </w:r>
      <w:r w:rsidRPr="00EE19A1">
        <w:rPr>
          <w:rFonts w:cs="Times New Roman"/>
          <w:iCs/>
          <w:noProof/>
          <w:sz w:val="22"/>
        </w:rPr>
        <w:lastRenderedPageBreak/>
        <w:t>stavka A 2.20, a koji iznos odgovara vrijednosti predmeta spora. U predmetnom postupku očekuje se donošenje prvostupanjske presude tijekom 2026. godine u korist tužitelja.</w:t>
      </w:r>
      <w:r w:rsidRPr="00EE19A1">
        <w:rPr>
          <w:rFonts w:cs="Times New Roman"/>
          <w:iCs/>
          <w:noProof/>
          <w:sz w:val="22"/>
        </w:rPr>
        <w:tab/>
        <w:t xml:space="preserve"> </w:t>
      </w:r>
      <w:r w:rsidRPr="00EE19A1">
        <w:rPr>
          <w:rFonts w:cs="Times New Roman"/>
          <w:iCs/>
          <w:noProof/>
          <w:sz w:val="22"/>
        </w:rPr>
        <w:tab/>
        <w:t xml:space="preserve"> </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Tužitelj: Larry d.o.o.</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Tuženik: Sveučilište Sjever</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Radi: 8.590,00 Eura</w:t>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Spor se vodi u svrhu naplate potraživanja s osnova navodno izvršene usluge prijevoza tužitelja za potrebe sportske udruge kao naručitelja. S obzirom da uslugu nije naručilo Sveučilište Sjever to je u postupku istaknut prigovor pasivne legitimacije te se očekuje završetak prvostupanjskog postupka u prvoj polovini 2026. godine.</w:t>
      </w:r>
      <w:r w:rsidRPr="00EE19A1">
        <w:rPr>
          <w:rFonts w:cs="Times New Roman"/>
          <w:iCs/>
          <w:noProof/>
          <w:sz w:val="22"/>
        </w:rPr>
        <w:tab/>
      </w:r>
    </w:p>
    <w:p w:rsidR="00EE19A1" w:rsidRPr="00EE19A1" w:rsidRDefault="00EE19A1" w:rsidP="00EE19A1">
      <w:pPr>
        <w:autoSpaceDE w:val="0"/>
        <w:autoSpaceDN w:val="0"/>
        <w:adjustRightInd w:val="0"/>
        <w:spacing w:after="0" w:line="276" w:lineRule="auto"/>
        <w:jc w:val="both"/>
        <w:rPr>
          <w:rFonts w:cs="Times New Roman"/>
          <w:iCs/>
          <w:noProof/>
          <w:sz w:val="22"/>
        </w:rPr>
      </w:pPr>
      <w:r w:rsidRPr="00EE19A1">
        <w:rPr>
          <w:rFonts w:cs="Times New Roman"/>
          <w:iCs/>
          <w:noProof/>
          <w:sz w:val="22"/>
        </w:rPr>
        <w:t>Sumarno 31.12.2025.</w:t>
      </w:r>
      <w:r>
        <w:rPr>
          <w:rFonts w:cs="Times New Roman"/>
          <w:iCs/>
          <w:noProof/>
          <w:sz w:val="22"/>
        </w:rPr>
        <w:t xml:space="preserve"> - </w:t>
      </w:r>
      <w:r w:rsidRPr="00EE19A1">
        <w:rPr>
          <w:rFonts w:cs="Times New Roman"/>
          <w:iCs/>
          <w:noProof/>
          <w:sz w:val="22"/>
        </w:rPr>
        <w:t>72.209,13 EUR</w:t>
      </w:r>
    </w:p>
    <w:p w:rsidR="00E2776A" w:rsidRPr="00A278AA" w:rsidRDefault="00E2776A" w:rsidP="00E2776A">
      <w:pPr>
        <w:autoSpaceDE w:val="0"/>
        <w:autoSpaceDN w:val="0"/>
        <w:adjustRightInd w:val="0"/>
        <w:spacing w:line="276" w:lineRule="auto"/>
        <w:jc w:val="both"/>
        <w:rPr>
          <w:rFonts w:cs="Times New Roman"/>
          <w:b/>
          <w:iCs/>
          <w:noProof/>
          <w:color w:val="FF0000"/>
          <w:sz w:val="22"/>
        </w:rPr>
      </w:pPr>
    </w:p>
    <w:p w:rsidR="00E2776A" w:rsidRPr="00A278AA" w:rsidRDefault="00E2776A" w:rsidP="00E2776A">
      <w:pPr>
        <w:autoSpaceDE w:val="0"/>
        <w:autoSpaceDN w:val="0"/>
        <w:adjustRightInd w:val="0"/>
        <w:spacing w:line="276" w:lineRule="auto"/>
        <w:jc w:val="both"/>
        <w:rPr>
          <w:rFonts w:cs="Times New Roman"/>
          <w:b/>
          <w:iCs/>
          <w:noProof/>
          <w:color w:val="FF0000"/>
          <w:sz w:val="22"/>
        </w:rPr>
      </w:pPr>
    </w:p>
    <w:p w:rsidR="00E2776A" w:rsidRPr="00A278AA" w:rsidRDefault="00E2776A" w:rsidP="00E2776A">
      <w:pPr>
        <w:autoSpaceDE w:val="0"/>
        <w:autoSpaceDN w:val="0"/>
        <w:adjustRightInd w:val="0"/>
        <w:spacing w:line="276" w:lineRule="auto"/>
        <w:jc w:val="both"/>
        <w:rPr>
          <w:rFonts w:cs="Times New Roman"/>
          <w:b/>
          <w:iCs/>
          <w:noProof/>
          <w:color w:val="FF0000"/>
          <w:sz w:val="22"/>
        </w:rPr>
      </w:pPr>
    </w:p>
    <w:p w:rsidR="006356EE" w:rsidRPr="002D2703" w:rsidRDefault="006356EE">
      <w:pPr>
        <w:rPr>
          <w:color w:val="FF0000"/>
          <w:sz w:val="22"/>
        </w:rPr>
      </w:pPr>
    </w:p>
    <w:sectPr w:rsidR="006356EE" w:rsidRPr="002D27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C2D" w:rsidRDefault="00D92C2D" w:rsidP="00502DE7">
      <w:pPr>
        <w:spacing w:after="0" w:line="240" w:lineRule="auto"/>
      </w:pPr>
      <w:r>
        <w:separator/>
      </w:r>
    </w:p>
  </w:endnote>
  <w:endnote w:type="continuationSeparator" w:id="0">
    <w:p w:rsidR="00D92C2D" w:rsidRDefault="00D92C2D" w:rsidP="0050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UniN Reg">
    <w:panose1 w:val="02000000000000000000"/>
    <w:charset w:val="00"/>
    <w:family w:val="modern"/>
    <w:notTrueType/>
    <w:pitch w:val="variable"/>
    <w:sig w:usb0="A00000BF" w:usb1="5001E47B" w:usb2="00000000" w:usb3="00000000" w:csb0="00000193"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528145"/>
      <w:docPartObj>
        <w:docPartGallery w:val="Page Numbers (Bottom of Page)"/>
        <w:docPartUnique/>
      </w:docPartObj>
    </w:sdtPr>
    <w:sdtEndPr/>
    <w:sdtContent>
      <w:p w:rsidR="005627AC" w:rsidRDefault="005627AC">
        <w:pPr>
          <w:pStyle w:val="Podnoje"/>
          <w:jc w:val="center"/>
        </w:pPr>
        <w:r>
          <w:fldChar w:fldCharType="begin"/>
        </w:r>
        <w:r>
          <w:instrText>PAGE   \* MERGEFORMAT</w:instrText>
        </w:r>
        <w:r>
          <w:fldChar w:fldCharType="separate"/>
        </w:r>
        <w:r>
          <w:t>2</w:t>
        </w:r>
        <w:r>
          <w:fldChar w:fldCharType="end"/>
        </w:r>
      </w:p>
    </w:sdtContent>
  </w:sdt>
  <w:p w:rsidR="005627AC" w:rsidRDefault="005627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C2D" w:rsidRDefault="00D92C2D" w:rsidP="00502DE7">
      <w:pPr>
        <w:spacing w:after="0" w:line="240" w:lineRule="auto"/>
      </w:pPr>
      <w:r>
        <w:separator/>
      </w:r>
    </w:p>
  </w:footnote>
  <w:footnote w:type="continuationSeparator" w:id="0">
    <w:p w:rsidR="00D92C2D" w:rsidRDefault="00D92C2D" w:rsidP="00502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EA"/>
    <w:multiLevelType w:val="hybridMultilevel"/>
    <w:tmpl w:val="AC642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EC1046"/>
    <w:multiLevelType w:val="hybridMultilevel"/>
    <w:tmpl w:val="E6EA251A"/>
    <w:lvl w:ilvl="0" w:tplc="F89ABF28">
      <w:start w:val="22"/>
      <w:numFmt w:val="bullet"/>
      <w:lvlText w:val="-"/>
      <w:lvlJc w:val="left"/>
      <w:pPr>
        <w:ind w:left="1004" w:hanging="360"/>
      </w:pPr>
      <w:rPr>
        <w:rFonts w:ascii="UniN Reg" w:eastAsia="Cambria" w:hAnsi="UniN Reg"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39663FF1"/>
    <w:multiLevelType w:val="hybridMultilevel"/>
    <w:tmpl w:val="05C0D8D6"/>
    <w:lvl w:ilvl="0" w:tplc="38125266">
      <w:start w:val="1"/>
      <w:numFmt w:val="decimal"/>
      <w:lvlText w:val="%1."/>
      <w:lvlJc w:val="left"/>
      <w:pPr>
        <w:ind w:left="-660" w:hanging="360"/>
      </w:pPr>
      <w:rPr>
        <w:rFonts w:ascii="UniN Reg" w:eastAsiaTheme="minorHAnsi" w:hAnsi="UniN Reg" w:cs="Calibri"/>
      </w:rPr>
    </w:lvl>
    <w:lvl w:ilvl="1" w:tplc="041A0019" w:tentative="1">
      <w:start w:val="1"/>
      <w:numFmt w:val="lowerLetter"/>
      <w:lvlText w:val="%2."/>
      <w:lvlJc w:val="left"/>
      <w:pPr>
        <w:ind w:left="60" w:hanging="360"/>
      </w:pPr>
    </w:lvl>
    <w:lvl w:ilvl="2" w:tplc="041A001B" w:tentative="1">
      <w:start w:val="1"/>
      <w:numFmt w:val="lowerRoman"/>
      <w:lvlText w:val="%3."/>
      <w:lvlJc w:val="right"/>
      <w:pPr>
        <w:ind w:left="780" w:hanging="180"/>
      </w:pPr>
    </w:lvl>
    <w:lvl w:ilvl="3" w:tplc="041A000F" w:tentative="1">
      <w:start w:val="1"/>
      <w:numFmt w:val="decimal"/>
      <w:lvlText w:val="%4."/>
      <w:lvlJc w:val="left"/>
      <w:pPr>
        <w:ind w:left="1500" w:hanging="360"/>
      </w:pPr>
    </w:lvl>
    <w:lvl w:ilvl="4" w:tplc="041A0019" w:tentative="1">
      <w:start w:val="1"/>
      <w:numFmt w:val="lowerLetter"/>
      <w:lvlText w:val="%5."/>
      <w:lvlJc w:val="left"/>
      <w:pPr>
        <w:ind w:left="2220" w:hanging="360"/>
      </w:pPr>
    </w:lvl>
    <w:lvl w:ilvl="5" w:tplc="041A001B" w:tentative="1">
      <w:start w:val="1"/>
      <w:numFmt w:val="lowerRoman"/>
      <w:lvlText w:val="%6."/>
      <w:lvlJc w:val="right"/>
      <w:pPr>
        <w:ind w:left="2940" w:hanging="180"/>
      </w:pPr>
    </w:lvl>
    <w:lvl w:ilvl="6" w:tplc="041A000F" w:tentative="1">
      <w:start w:val="1"/>
      <w:numFmt w:val="decimal"/>
      <w:lvlText w:val="%7."/>
      <w:lvlJc w:val="left"/>
      <w:pPr>
        <w:ind w:left="3660" w:hanging="360"/>
      </w:pPr>
    </w:lvl>
    <w:lvl w:ilvl="7" w:tplc="041A0019" w:tentative="1">
      <w:start w:val="1"/>
      <w:numFmt w:val="lowerLetter"/>
      <w:lvlText w:val="%8."/>
      <w:lvlJc w:val="left"/>
      <w:pPr>
        <w:ind w:left="4380" w:hanging="360"/>
      </w:pPr>
    </w:lvl>
    <w:lvl w:ilvl="8" w:tplc="041A001B" w:tentative="1">
      <w:start w:val="1"/>
      <w:numFmt w:val="lowerRoman"/>
      <w:lvlText w:val="%9."/>
      <w:lvlJc w:val="right"/>
      <w:pPr>
        <w:ind w:left="5100" w:hanging="180"/>
      </w:pPr>
    </w:lvl>
  </w:abstractNum>
  <w:abstractNum w:abstractNumId="3" w15:restartNumberingAfterBreak="0">
    <w:nsid w:val="4F326B6C"/>
    <w:multiLevelType w:val="hybridMultilevel"/>
    <w:tmpl w:val="51C0A43E"/>
    <w:lvl w:ilvl="0" w:tplc="5998AB68">
      <w:numFmt w:val="bullet"/>
      <w:lvlText w:val="-"/>
      <w:lvlJc w:val="left"/>
      <w:pPr>
        <w:ind w:left="720" w:hanging="360"/>
      </w:pPr>
      <w:rPr>
        <w:rFonts w:ascii="UniN Reg" w:eastAsiaTheme="minorHAnsi" w:hAnsi="UniN Reg"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0242C05"/>
    <w:multiLevelType w:val="hybridMultilevel"/>
    <w:tmpl w:val="6D7E0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5E1448E"/>
    <w:multiLevelType w:val="hybridMultilevel"/>
    <w:tmpl w:val="2CAABC2C"/>
    <w:lvl w:ilvl="0" w:tplc="8CE4AC80">
      <w:start w:val="1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9B"/>
    <w:rsid w:val="00007752"/>
    <w:rsid w:val="00054B60"/>
    <w:rsid w:val="00061356"/>
    <w:rsid w:val="000627AB"/>
    <w:rsid w:val="00062CA2"/>
    <w:rsid w:val="000804F1"/>
    <w:rsid w:val="00091145"/>
    <w:rsid w:val="00092ED7"/>
    <w:rsid w:val="000A215F"/>
    <w:rsid w:val="000C0030"/>
    <w:rsid w:val="000D5E8D"/>
    <w:rsid w:val="000E3C99"/>
    <w:rsid w:val="000E6A2E"/>
    <w:rsid w:val="000F2CA7"/>
    <w:rsid w:val="001016B0"/>
    <w:rsid w:val="00115D97"/>
    <w:rsid w:val="00171834"/>
    <w:rsid w:val="001870E1"/>
    <w:rsid w:val="00187C5C"/>
    <w:rsid w:val="00244D67"/>
    <w:rsid w:val="00291B30"/>
    <w:rsid w:val="002A341D"/>
    <w:rsid w:val="002C1969"/>
    <w:rsid w:val="002C5A91"/>
    <w:rsid w:val="002D2703"/>
    <w:rsid w:val="003078E3"/>
    <w:rsid w:val="00310252"/>
    <w:rsid w:val="00377875"/>
    <w:rsid w:val="003840C6"/>
    <w:rsid w:val="00386BA4"/>
    <w:rsid w:val="00396624"/>
    <w:rsid w:val="00396DD1"/>
    <w:rsid w:val="003B3AB5"/>
    <w:rsid w:val="003D2024"/>
    <w:rsid w:val="003E69DA"/>
    <w:rsid w:val="00401B60"/>
    <w:rsid w:val="00407D7B"/>
    <w:rsid w:val="00413693"/>
    <w:rsid w:val="00415612"/>
    <w:rsid w:val="004255CE"/>
    <w:rsid w:val="0043062C"/>
    <w:rsid w:val="004409A2"/>
    <w:rsid w:val="00451F94"/>
    <w:rsid w:val="004B1E55"/>
    <w:rsid w:val="00502DE7"/>
    <w:rsid w:val="005202BE"/>
    <w:rsid w:val="00521664"/>
    <w:rsid w:val="005516C0"/>
    <w:rsid w:val="005627AC"/>
    <w:rsid w:val="005800BF"/>
    <w:rsid w:val="00581179"/>
    <w:rsid w:val="005845AB"/>
    <w:rsid w:val="005A6C06"/>
    <w:rsid w:val="005B24B5"/>
    <w:rsid w:val="005B7224"/>
    <w:rsid w:val="005D140B"/>
    <w:rsid w:val="005D2938"/>
    <w:rsid w:val="005D7C7A"/>
    <w:rsid w:val="005E398F"/>
    <w:rsid w:val="005F17E3"/>
    <w:rsid w:val="00630D6D"/>
    <w:rsid w:val="00634573"/>
    <w:rsid w:val="006356EE"/>
    <w:rsid w:val="00650AE4"/>
    <w:rsid w:val="00664F0E"/>
    <w:rsid w:val="00683C56"/>
    <w:rsid w:val="006C6EAD"/>
    <w:rsid w:val="006F4299"/>
    <w:rsid w:val="00703342"/>
    <w:rsid w:val="0071535B"/>
    <w:rsid w:val="007251E1"/>
    <w:rsid w:val="00750E0E"/>
    <w:rsid w:val="00755757"/>
    <w:rsid w:val="00756AE9"/>
    <w:rsid w:val="0077119B"/>
    <w:rsid w:val="007840C5"/>
    <w:rsid w:val="007964F4"/>
    <w:rsid w:val="007B03D2"/>
    <w:rsid w:val="007C2452"/>
    <w:rsid w:val="007C5337"/>
    <w:rsid w:val="00800153"/>
    <w:rsid w:val="00805869"/>
    <w:rsid w:val="00811496"/>
    <w:rsid w:val="008135F3"/>
    <w:rsid w:val="00830991"/>
    <w:rsid w:val="00833A3D"/>
    <w:rsid w:val="008421BA"/>
    <w:rsid w:val="00845369"/>
    <w:rsid w:val="00851A50"/>
    <w:rsid w:val="00856C9F"/>
    <w:rsid w:val="008673FE"/>
    <w:rsid w:val="0087387D"/>
    <w:rsid w:val="00881F8D"/>
    <w:rsid w:val="00881FA4"/>
    <w:rsid w:val="008B33A1"/>
    <w:rsid w:val="008B41F0"/>
    <w:rsid w:val="008E1D4B"/>
    <w:rsid w:val="008F166D"/>
    <w:rsid w:val="008F6ABA"/>
    <w:rsid w:val="00906A04"/>
    <w:rsid w:val="0091358A"/>
    <w:rsid w:val="00962884"/>
    <w:rsid w:val="009B6742"/>
    <w:rsid w:val="009C02A0"/>
    <w:rsid w:val="009C5A9C"/>
    <w:rsid w:val="009D09D2"/>
    <w:rsid w:val="009D247E"/>
    <w:rsid w:val="009F3C0D"/>
    <w:rsid w:val="00A15718"/>
    <w:rsid w:val="00A278AA"/>
    <w:rsid w:val="00A32E8C"/>
    <w:rsid w:val="00A44A35"/>
    <w:rsid w:val="00A55912"/>
    <w:rsid w:val="00A74399"/>
    <w:rsid w:val="00A8002E"/>
    <w:rsid w:val="00AC2597"/>
    <w:rsid w:val="00AE03D5"/>
    <w:rsid w:val="00B10DB6"/>
    <w:rsid w:val="00B20444"/>
    <w:rsid w:val="00B444CD"/>
    <w:rsid w:val="00B84B6E"/>
    <w:rsid w:val="00BA0D1C"/>
    <w:rsid w:val="00BB23DD"/>
    <w:rsid w:val="00BC2123"/>
    <w:rsid w:val="00BC291F"/>
    <w:rsid w:val="00BC6D68"/>
    <w:rsid w:val="00C26E18"/>
    <w:rsid w:val="00C30870"/>
    <w:rsid w:val="00C6050F"/>
    <w:rsid w:val="00C71360"/>
    <w:rsid w:val="00C82028"/>
    <w:rsid w:val="00C90DA7"/>
    <w:rsid w:val="00CB19CF"/>
    <w:rsid w:val="00CC64C8"/>
    <w:rsid w:val="00CE6E33"/>
    <w:rsid w:val="00D1343D"/>
    <w:rsid w:val="00D158D4"/>
    <w:rsid w:val="00D17DB8"/>
    <w:rsid w:val="00D26D95"/>
    <w:rsid w:val="00D3420F"/>
    <w:rsid w:val="00D4159D"/>
    <w:rsid w:val="00D463C1"/>
    <w:rsid w:val="00D6017A"/>
    <w:rsid w:val="00D747B3"/>
    <w:rsid w:val="00D92C2D"/>
    <w:rsid w:val="00D94E96"/>
    <w:rsid w:val="00DB72EF"/>
    <w:rsid w:val="00E01382"/>
    <w:rsid w:val="00E2776A"/>
    <w:rsid w:val="00E62057"/>
    <w:rsid w:val="00E82CE6"/>
    <w:rsid w:val="00EB5BDE"/>
    <w:rsid w:val="00EB7309"/>
    <w:rsid w:val="00EE19A1"/>
    <w:rsid w:val="00F12501"/>
    <w:rsid w:val="00F235F8"/>
    <w:rsid w:val="00F6542F"/>
    <w:rsid w:val="00F728DA"/>
    <w:rsid w:val="00F87523"/>
    <w:rsid w:val="00F95474"/>
    <w:rsid w:val="00FA2BDA"/>
    <w:rsid w:val="00FE3906"/>
    <w:rsid w:val="00FF0E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345A3-7E57-4443-9795-CD07438D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591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5912"/>
    <w:rPr>
      <w:rFonts w:ascii="Segoe UI" w:hAnsi="Segoe UI" w:cs="Segoe UI"/>
      <w:sz w:val="18"/>
      <w:szCs w:val="18"/>
    </w:rPr>
  </w:style>
  <w:style w:type="paragraph" w:styleId="Odlomakpopisa">
    <w:name w:val="List Paragraph"/>
    <w:basedOn w:val="Normal"/>
    <w:uiPriority w:val="34"/>
    <w:qFormat/>
    <w:rsid w:val="006356EE"/>
    <w:pPr>
      <w:widowControl w:val="0"/>
      <w:spacing w:after="0" w:line="240" w:lineRule="auto"/>
      <w:ind w:left="720"/>
      <w:contextualSpacing/>
    </w:pPr>
    <w:rPr>
      <w:rFonts w:ascii="UniN Reg" w:eastAsiaTheme="minorHAnsi" w:hAnsi="UniN Reg"/>
      <w:sz w:val="22"/>
      <w:lang w:eastAsia="en-US"/>
    </w:rPr>
  </w:style>
  <w:style w:type="character" w:customStyle="1" w:styleId="vkekvd">
    <w:name w:val="vkekvd"/>
    <w:basedOn w:val="Zadanifontodlomka"/>
    <w:rsid w:val="008421BA"/>
  </w:style>
  <w:style w:type="paragraph" w:styleId="Zaglavlje">
    <w:name w:val="header"/>
    <w:basedOn w:val="Normal"/>
    <w:link w:val="ZaglavljeChar"/>
    <w:uiPriority w:val="99"/>
    <w:unhideWhenUsed/>
    <w:rsid w:val="00502D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02DE7"/>
    <w:rPr>
      <w:rFonts w:ascii="Times New Roman" w:hAnsi="Times New Roman"/>
      <w:sz w:val="24"/>
    </w:rPr>
  </w:style>
  <w:style w:type="paragraph" w:styleId="Podnoje">
    <w:name w:val="footer"/>
    <w:basedOn w:val="Normal"/>
    <w:link w:val="PodnojeChar"/>
    <w:uiPriority w:val="99"/>
    <w:unhideWhenUsed/>
    <w:rsid w:val="00502D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02D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3366">
      <w:bodyDiv w:val="1"/>
      <w:marLeft w:val="0"/>
      <w:marRight w:val="0"/>
      <w:marTop w:val="0"/>
      <w:marBottom w:val="0"/>
      <w:divBdr>
        <w:top w:val="none" w:sz="0" w:space="0" w:color="auto"/>
        <w:left w:val="none" w:sz="0" w:space="0" w:color="auto"/>
        <w:bottom w:val="none" w:sz="0" w:space="0" w:color="auto"/>
        <w:right w:val="none" w:sz="0" w:space="0" w:color="auto"/>
      </w:divBdr>
      <w:divsChild>
        <w:div w:id="2064911138">
          <w:marLeft w:val="0"/>
          <w:marRight w:val="0"/>
          <w:marTop w:val="0"/>
          <w:marBottom w:val="0"/>
          <w:divBdr>
            <w:top w:val="none" w:sz="0" w:space="0" w:color="auto"/>
            <w:left w:val="none" w:sz="0" w:space="0" w:color="auto"/>
            <w:bottom w:val="none" w:sz="0" w:space="0" w:color="auto"/>
            <w:right w:val="none" w:sz="0" w:space="0" w:color="auto"/>
          </w:divBdr>
          <w:divsChild>
            <w:div w:id="114564591">
              <w:marLeft w:val="0"/>
              <w:marRight w:val="0"/>
              <w:marTop w:val="0"/>
              <w:marBottom w:val="0"/>
              <w:divBdr>
                <w:top w:val="none" w:sz="0" w:space="0" w:color="auto"/>
                <w:left w:val="none" w:sz="0" w:space="0" w:color="auto"/>
                <w:bottom w:val="none" w:sz="0" w:space="0" w:color="auto"/>
                <w:right w:val="none" w:sz="0" w:space="0" w:color="auto"/>
              </w:divBdr>
              <w:divsChild>
                <w:div w:id="1862815523">
                  <w:marLeft w:val="0"/>
                  <w:marRight w:val="0"/>
                  <w:marTop w:val="0"/>
                  <w:marBottom w:val="0"/>
                  <w:divBdr>
                    <w:top w:val="none" w:sz="0" w:space="0" w:color="auto"/>
                    <w:left w:val="none" w:sz="0" w:space="0" w:color="auto"/>
                    <w:bottom w:val="none" w:sz="0" w:space="0" w:color="auto"/>
                    <w:right w:val="none" w:sz="0" w:space="0" w:color="auto"/>
                  </w:divBdr>
                  <w:divsChild>
                    <w:div w:id="1327511245">
                      <w:marLeft w:val="0"/>
                      <w:marRight w:val="0"/>
                      <w:marTop w:val="120"/>
                      <w:marBottom w:val="0"/>
                      <w:divBdr>
                        <w:top w:val="none" w:sz="0" w:space="0" w:color="auto"/>
                        <w:left w:val="none" w:sz="0" w:space="0" w:color="auto"/>
                        <w:bottom w:val="none" w:sz="0" w:space="0" w:color="auto"/>
                        <w:right w:val="none" w:sz="0" w:space="0" w:color="auto"/>
                      </w:divBdr>
                      <w:divsChild>
                        <w:div w:id="1597205317">
                          <w:marLeft w:val="0"/>
                          <w:marRight w:val="0"/>
                          <w:marTop w:val="0"/>
                          <w:marBottom w:val="0"/>
                          <w:divBdr>
                            <w:top w:val="none" w:sz="0" w:space="0" w:color="auto"/>
                            <w:left w:val="none" w:sz="0" w:space="0" w:color="auto"/>
                            <w:bottom w:val="none" w:sz="0" w:space="0" w:color="auto"/>
                            <w:right w:val="none" w:sz="0" w:space="0" w:color="auto"/>
                          </w:divBdr>
                          <w:divsChild>
                            <w:div w:id="794569483">
                              <w:marLeft w:val="0"/>
                              <w:marRight w:val="0"/>
                              <w:marTop w:val="0"/>
                              <w:marBottom w:val="0"/>
                              <w:divBdr>
                                <w:top w:val="none" w:sz="0" w:space="0" w:color="auto"/>
                                <w:left w:val="none" w:sz="0" w:space="0" w:color="auto"/>
                                <w:bottom w:val="none" w:sz="0" w:space="0" w:color="auto"/>
                                <w:right w:val="none" w:sz="0" w:space="0" w:color="auto"/>
                              </w:divBdr>
                              <w:divsChild>
                                <w:div w:id="9396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666377">
          <w:marLeft w:val="0"/>
          <w:marRight w:val="0"/>
          <w:marTop w:val="0"/>
          <w:marBottom w:val="0"/>
          <w:divBdr>
            <w:top w:val="none" w:sz="0" w:space="0" w:color="auto"/>
            <w:left w:val="none" w:sz="0" w:space="0" w:color="auto"/>
            <w:bottom w:val="none" w:sz="0" w:space="0" w:color="auto"/>
            <w:right w:val="none" w:sz="0" w:space="0" w:color="auto"/>
          </w:divBdr>
          <w:divsChild>
            <w:div w:id="96826578">
              <w:marLeft w:val="0"/>
              <w:marRight w:val="0"/>
              <w:marTop w:val="0"/>
              <w:marBottom w:val="0"/>
              <w:divBdr>
                <w:top w:val="none" w:sz="0" w:space="0" w:color="auto"/>
                <w:left w:val="none" w:sz="0" w:space="0" w:color="auto"/>
                <w:bottom w:val="none" w:sz="0" w:space="0" w:color="auto"/>
                <w:right w:val="none" w:sz="0" w:space="0" w:color="auto"/>
              </w:divBdr>
              <w:divsChild>
                <w:div w:id="1765343486">
                  <w:marLeft w:val="0"/>
                  <w:marRight w:val="0"/>
                  <w:marTop w:val="0"/>
                  <w:marBottom w:val="0"/>
                  <w:divBdr>
                    <w:top w:val="none" w:sz="0" w:space="0" w:color="auto"/>
                    <w:left w:val="none" w:sz="0" w:space="0" w:color="auto"/>
                    <w:bottom w:val="none" w:sz="0" w:space="0" w:color="auto"/>
                    <w:right w:val="none" w:sz="0" w:space="0" w:color="auto"/>
                  </w:divBdr>
                  <w:divsChild>
                    <w:div w:id="1230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02559">
      <w:bodyDiv w:val="1"/>
      <w:marLeft w:val="0"/>
      <w:marRight w:val="0"/>
      <w:marTop w:val="0"/>
      <w:marBottom w:val="0"/>
      <w:divBdr>
        <w:top w:val="none" w:sz="0" w:space="0" w:color="auto"/>
        <w:left w:val="none" w:sz="0" w:space="0" w:color="auto"/>
        <w:bottom w:val="none" w:sz="0" w:space="0" w:color="auto"/>
        <w:right w:val="none" w:sz="0" w:space="0" w:color="auto"/>
      </w:divBdr>
    </w:div>
    <w:div w:id="1013655149">
      <w:bodyDiv w:val="1"/>
      <w:marLeft w:val="0"/>
      <w:marRight w:val="0"/>
      <w:marTop w:val="0"/>
      <w:marBottom w:val="0"/>
      <w:divBdr>
        <w:top w:val="none" w:sz="0" w:space="0" w:color="auto"/>
        <w:left w:val="none" w:sz="0" w:space="0" w:color="auto"/>
        <w:bottom w:val="none" w:sz="0" w:space="0" w:color="auto"/>
        <w:right w:val="none" w:sz="0" w:space="0" w:color="auto"/>
      </w:divBdr>
    </w:div>
    <w:div w:id="1256397896">
      <w:bodyDiv w:val="1"/>
      <w:marLeft w:val="0"/>
      <w:marRight w:val="0"/>
      <w:marTop w:val="0"/>
      <w:marBottom w:val="0"/>
      <w:divBdr>
        <w:top w:val="none" w:sz="0" w:space="0" w:color="auto"/>
        <w:left w:val="none" w:sz="0" w:space="0" w:color="auto"/>
        <w:bottom w:val="none" w:sz="0" w:space="0" w:color="auto"/>
        <w:right w:val="none" w:sz="0" w:space="0" w:color="auto"/>
      </w:divBdr>
    </w:div>
    <w:div w:id="1853298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1FE1-7B6B-4404-A748-010E770D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15</Pages>
  <Words>6719</Words>
  <Characters>38300</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mklicek</dc:creator>
  <cp:lastModifiedBy>mklicek</cp:lastModifiedBy>
  <cp:revision>116</cp:revision>
  <cp:lastPrinted>2025-10-09T15:46:00Z</cp:lastPrinted>
  <dcterms:created xsi:type="dcterms:W3CDTF">2025-10-09T16:03:00Z</dcterms:created>
  <dcterms:modified xsi:type="dcterms:W3CDTF">2026-01-30T13:53:00Z</dcterms:modified>
</cp:coreProperties>
</file>